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pacing w:val="15"/>
          <w:sz w:val="32"/>
          <w:szCs w:val="32"/>
        </w:rPr>
      </w:pPr>
    </w:p>
    <w:p>
      <w:pPr>
        <w:spacing w:line="560" w:lineRule="exact"/>
        <w:jc w:val="center"/>
        <w:rPr>
          <w:rFonts w:ascii="方正小标宋简体" w:hAnsi="方正小标宋简体" w:eastAsia="方正小标宋简体" w:cs="方正小标宋简体"/>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r>
        <w:rPr>
          <w:rFonts w:ascii="方正小标宋简体" w:hAnsi="方正小标宋简体" w:eastAsia="方正小标宋简体" w:cs="方正小标宋简体"/>
          <w:bCs/>
          <w:spacing w:val="15"/>
          <w:sz w:val="44"/>
          <w:szCs w:val="44"/>
        </w:rPr>
        <w:t>衢州市科学技术协会</w:t>
      </w:r>
      <w:r>
        <w:rPr>
          <w:rFonts w:hint="eastAsia" w:ascii="方正小标宋简体" w:hAnsi="方正小标宋简体" w:eastAsia="方正小标宋简体" w:cs="方正小标宋简体"/>
          <w:bCs/>
          <w:spacing w:val="15"/>
          <w:sz w:val="44"/>
          <w:szCs w:val="44"/>
        </w:rPr>
        <w:t>2024年部门预算</w:t>
      </w:r>
    </w:p>
    <w:p>
      <w:pPr>
        <w:spacing w:line="560" w:lineRule="exact"/>
        <w:ind w:firstLine="590" w:firstLineChars="196"/>
        <w:rPr>
          <w:rStyle w:val="9"/>
          <w:color w:val="000000"/>
          <w:sz w:val="30"/>
          <w:szCs w:val="30"/>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r>
        <w:rPr>
          <w:rStyle w:val="9"/>
          <w:rFonts w:hint="eastAsia" w:ascii="黑体" w:eastAsia="黑体"/>
          <w:b w:val="0"/>
          <w:color w:val="000000"/>
          <w:sz w:val="32"/>
          <w:szCs w:val="32"/>
        </w:rPr>
        <w:t>目录</w:t>
      </w:r>
    </w:p>
    <w:p>
      <w:pPr>
        <w:spacing w:line="520" w:lineRule="exact"/>
        <w:rPr>
          <w:rFonts w:eastAsia="黑体"/>
          <w:sz w:val="32"/>
        </w:rPr>
      </w:pPr>
      <w:r>
        <w:rPr>
          <w:rFonts w:hint="eastAsia" w:ascii="黑体" w:eastAsia="黑体"/>
          <w:color w:val="000000"/>
          <w:sz w:val="32"/>
          <w:highlight w:val="white"/>
        </w:rPr>
        <w:t>一、</w:t>
      </w:r>
      <w:r>
        <w:rPr>
          <w:rStyle w:val="9"/>
          <w:rFonts w:hint="eastAsia" w:ascii="黑体" w:eastAsia="黑体"/>
          <w:b w:val="0"/>
          <w:color w:val="000000"/>
          <w:sz w:val="32"/>
          <w:szCs w:val="32"/>
        </w:rPr>
        <w:t>部门概况</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（二）部门机构设置情况</w:t>
      </w:r>
    </w:p>
    <w:p>
      <w:pPr>
        <w:spacing w:line="520" w:lineRule="exact"/>
        <w:rPr>
          <w:rStyle w:val="9"/>
          <w:rFonts w:ascii="黑体" w:eastAsia="黑体"/>
          <w:b w:val="0"/>
          <w:color w:val="000000"/>
          <w:sz w:val="32"/>
          <w:szCs w:val="32"/>
        </w:rPr>
      </w:pPr>
      <w:r>
        <w:rPr>
          <w:rStyle w:val="9"/>
          <w:rFonts w:hint="eastAsia" w:ascii="黑体" w:eastAsia="黑体"/>
          <w:b w:val="0"/>
          <w:color w:val="000000"/>
          <w:sz w:val="32"/>
          <w:szCs w:val="32"/>
        </w:rPr>
        <w:t>二、2024年衢州市科学技术协会部门预算安排情况说明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（一）关于衢州市科学技术协会2024年收支预算情况的总体说明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（二）关于衢州市科学技术协会2024年收入预算情况说明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（三）关于衢州市科学技术协会2024年支出预算情况说明</w:t>
      </w:r>
      <w:r>
        <w:rPr>
          <w:rFonts w:hint="eastAsia" w:ascii="楷体_GB2312" w:hAnsi="楷体_GB2312" w:eastAsia="楷体_GB2312" w:cs="楷体_GB2312"/>
          <w:bCs/>
          <w:sz w:val="32"/>
          <w:szCs w:val="32"/>
        </w:rPr>
        <w:br w:type="textWrapping"/>
      </w:r>
      <w:r>
        <w:rPr>
          <w:rFonts w:hint="eastAsia" w:ascii="楷体_GB2312" w:hAnsi="楷体_GB2312" w:eastAsia="楷体_GB2312" w:cs="楷体_GB2312"/>
          <w:bCs/>
          <w:sz w:val="32"/>
          <w:szCs w:val="32"/>
        </w:rPr>
        <w:t>（四）关于衢州市科学技术协会2024年财政拨款收支预算情况的总体说明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（五）关于衢州市科学技术协会2024年一般公共预算拨款情况说明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（六）关于衢州市科学技术协会2024年一般公共预算基本支出情况说明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（七）关于衢州市科学技术协会2024年政府性基金预算支出情况说明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（八）关于衢州市科学技术协会2024年国有资本经营预算支出情况说明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（九）关于衢州市科学技术协会2024年一般公共预算“三公”经费预算情况说明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pStyle w:val="14"/>
        <w:spacing w:line="520" w:lineRule="exact"/>
        <w:rPr>
          <w:rStyle w:val="9"/>
          <w:rFonts w:ascii="黑体" w:hAnsi="Calibri" w:eastAsia="黑体"/>
          <w:b w:val="0"/>
          <w:color w:val="000000"/>
          <w:kern w:val="2"/>
          <w:sz w:val="32"/>
          <w:szCs w:val="32"/>
        </w:rPr>
      </w:pPr>
      <w:r>
        <w:rPr>
          <w:rStyle w:val="9"/>
          <w:rFonts w:hint="eastAsia" w:ascii="黑体" w:hAnsi="Calibri" w:eastAsia="黑体"/>
          <w:b w:val="0"/>
          <w:color w:val="000000"/>
          <w:kern w:val="2"/>
          <w:sz w:val="32"/>
          <w:szCs w:val="32"/>
        </w:rPr>
        <w:t>三、名词解释</w:t>
      </w:r>
    </w:p>
    <w:p>
      <w:pPr>
        <w:spacing w:line="520" w:lineRule="exact"/>
        <w:rPr>
          <w:rStyle w:val="9"/>
          <w:rFonts w:ascii="黑体" w:eastAsia="黑体"/>
          <w:b w:val="0"/>
          <w:color w:val="000000"/>
          <w:sz w:val="32"/>
          <w:szCs w:val="32"/>
        </w:rPr>
      </w:pPr>
      <w:r>
        <w:rPr>
          <w:rStyle w:val="9"/>
          <w:rFonts w:hint="eastAsia" w:ascii="黑体" w:eastAsia="黑体"/>
          <w:b w:val="0"/>
          <w:color w:val="000000"/>
          <w:sz w:val="32"/>
          <w:szCs w:val="32"/>
        </w:rPr>
        <w:t>四、2024年衢州市科学技术协会部门预算表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（一）2024年部门收支预算总表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（二）2024年部门收入预算总表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（三）2024年部门支出预算总表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（四）2024年部门财政拨款收支预算总表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（五）2024年部门一般公共预算支出表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（六）2024年部门一般公共预算基本支出表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（七）2024年部门一般公共预算“三公”经费支出表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（八）2024年部门政府性基金预算支出表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（九）2024年部门国有资本经营预算支出表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（十）2024年部门项目支出预算表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（十一）2024年部门项目支出绩效表</w:t>
      </w:r>
    </w:p>
    <w:p>
      <w:pPr>
        <w:spacing w:line="520" w:lineRule="exact"/>
        <w:ind w:firstLine="627" w:firstLineChars="196"/>
        <w:rPr>
          <w:rStyle w:val="9"/>
          <w:rFonts w:ascii="黑体" w:eastAsia="黑体"/>
          <w:b w:val="0"/>
          <w:color w:val="00000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tabs>
          <w:tab w:val="left" w:pos="2608"/>
        </w:tabs>
        <w:rPr>
          <w:rStyle w:val="9"/>
          <w:rFonts w:hint="default" w:ascii="黑体" w:eastAsia="黑体"/>
          <w:b w:val="0"/>
          <w:sz w:val="32"/>
          <w:szCs w:val="32"/>
        </w:rPr>
      </w:pPr>
      <w:r>
        <w:rPr>
          <w:rStyle w:val="9"/>
          <w:rFonts w:ascii="黑体" w:eastAsia="黑体"/>
          <w:b w:val="0"/>
          <w:sz w:val="32"/>
          <w:szCs w:val="32"/>
        </w:rPr>
        <w:tab/>
      </w:r>
    </w:p>
    <w:p>
      <w:pPr>
        <w:pStyle w:val="2"/>
        <w:tabs>
          <w:tab w:val="left" w:pos="2608"/>
        </w:tabs>
        <w:rPr>
          <w:rStyle w:val="9"/>
          <w:rFonts w:hint="default" w:ascii="黑体" w:eastAsia="黑体"/>
          <w:b w:val="0"/>
          <w:sz w:val="32"/>
          <w:szCs w:val="32"/>
        </w:rPr>
      </w:pPr>
    </w:p>
    <w:p>
      <w:pPr>
        <w:spacing w:line="520" w:lineRule="exact"/>
        <w:ind w:firstLine="627" w:firstLineChars="196"/>
        <w:rPr>
          <w:rStyle w:val="9"/>
          <w:rFonts w:ascii="黑体" w:eastAsia="黑体"/>
          <w:b w:val="0"/>
          <w:color w:val="000000"/>
          <w:sz w:val="32"/>
          <w:szCs w:val="32"/>
        </w:rPr>
      </w:pPr>
      <w:r>
        <w:rPr>
          <w:rStyle w:val="9"/>
          <w:rFonts w:hint="eastAsia" w:ascii="黑体" w:eastAsia="黑体"/>
          <w:b w:val="0"/>
          <w:color w:val="000000"/>
          <w:sz w:val="32"/>
          <w:szCs w:val="32"/>
        </w:rPr>
        <w:t>一、部门概况</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spacing w:line="540" w:lineRule="exact"/>
        <w:ind w:firstLine="627" w:firstLineChars="196"/>
        <w:rPr>
          <w:rFonts w:hint="eastAsia" w:eastAsia="仿宋_GB2312"/>
          <w:highlight w:val="none"/>
          <w:lang w:eastAsia="zh-CN"/>
        </w:rPr>
      </w:pPr>
      <w:r>
        <w:rPr>
          <w:rFonts w:ascii="仿宋_GB2312" w:eastAsia="仿宋_GB2312"/>
          <w:color w:val="000000"/>
          <w:sz w:val="32"/>
          <w:szCs w:val="32"/>
        </w:rPr>
        <w:t>1.</w:t>
      </w:r>
      <w:r>
        <w:rPr>
          <w:rFonts w:hint="eastAsia" w:ascii="仿宋_GB2312" w:hAnsi="Times New Roman" w:eastAsia="仿宋_GB2312" w:cs="Times New Roman"/>
          <w:color w:val="000000"/>
          <w:sz w:val="32"/>
          <w:szCs w:val="32"/>
        </w:rPr>
        <w:t>加强对科技工作者的政治引领，创新科协所属科技社团党建工作运行机制，用中国特色社会主义共同理想凝聚科技工作者。</w:t>
      </w:r>
      <w:r>
        <w:rPr>
          <w:rFonts w:hint="eastAsia" w:ascii="仿宋_GB2312" w:hAnsi="Times New Roman" w:eastAsia="仿宋_GB2312" w:cs="Times New Roman"/>
          <w:color w:val="000000"/>
          <w:sz w:val="32"/>
          <w:szCs w:val="32"/>
        </w:rPr>
        <w:br w:type="textWrapping"/>
      </w:r>
      <w:r>
        <w:rPr>
          <w:rFonts w:hint="eastAsia" w:ascii="仿宋_GB2312" w:hAnsi="Times New Roman" w:eastAsia="仿宋_GB2312" w:cs="Times New Roman"/>
          <w:color w:val="000000"/>
          <w:sz w:val="32"/>
          <w:szCs w:val="32"/>
          <w:lang w:val="en-US" w:eastAsia="zh-CN"/>
        </w:rPr>
        <w:t xml:space="preserve">    2.</w:t>
      </w:r>
      <w:r>
        <w:rPr>
          <w:rFonts w:hint="eastAsia" w:ascii="仿宋_GB2312" w:hAnsi="Times New Roman" w:eastAsia="仿宋_GB2312" w:cs="Times New Roman"/>
          <w:color w:val="000000"/>
          <w:sz w:val="32"/>
          <w:szCs w:val="32"/>
        </w:rPr>
        <w:t>开展学术交流，活跃学术思想，促进科学道德和学风建设。推动学科发展和科技成果向现实生产力转化。</w:t>
      </w:r>
      <w:r>
        <w:rPr>
          <w:rFonts w:hint="eastAsia" w:ascii="仿宋_GB2312" w:hAnsi="Times New Roman" w:eastAsia="仿宋_GB2312" w:cs="Times New Roman"/>
          <w:color w:val="000000"/>
          <w:sz w:val="32"/>
          <w:szCs w:val="32"/>
        </w:rPr>
        <w:br w:type="textWrapping"/>
      </w:r>
      <w:r>
        <w:rPr>
          <w:rFonts w:hint="eastAsia" w:ascii="仿宋_GB2312" w:hAnsi="Times New Roman" w:eastAsia="仿宋_GB2312" w:cs="Times New Roman"/>
          <w:color w:val="000000"/>
          <w:sz w:val="32"/>
          <w:szCs w:val="32"/>
          <w:lang w:val="en-US" w:eastAsia="zh-CN"/>
        </w:rPr>
        <w:t xml:space="preserve">    3.</w:t>
      </w:r>
      <w:r>
        <w:rPr>
          <w:rFonts w:hint="eastAsia" w:ascii="仿宋_GB2312" w:hAnsi="Times New Roman" w:eastAsia="仿宋_GB2312" w:cs="Times New Roman"/>
          <w:color w:val="000000"/>
          <w:sz w:val="32"/>
          <w:szCs w:val="32"/>
        </w:rPr>
        <w:t>弘扬科学精神，普及科学知识，传播科学思想和科学方法，捍卫科学尊严。牵头实施全民科学素质行动计划纲要，开展青少年科技教育活动，提高全民科技意识和科学素质。</w:t>
      </w:r>
      <w:r>
        <w:rPr>
          <w:rFonts w:hint="eastAsia" w:ascii="仿宋_GB2312" w:hAnsi="Times New Roman" w:eastAsia="仿宋_GB2312" w:cs="Times New Roman"/>
          <w:color w:val="000000"/>
          <w:sz w:val="32"/>
          <w:szCs w:val="32"/>
        </w:rPr>
        <w:br w:type="textWrapping"/>
      </w:r>
      <w:r>
        <w:rPr>
          <w:rFonts w:hint="eastAsia" w:ascii="仿宋_GB2312" w:hAnsi="Times New Roman" w:eastAsia="仿宋_GB2312" w:cs="Times New Roman"/>
          <w:color w:val="000000"/>
          <w:sz w:val="32"/>
          <w:szCs w:val="32"/>
          <w:lang w:val="en-US" w:eastAsia="zh-CN"/>
        </w:rPr>
        <w:t xml:space="preserve">    4.</w:t>
      </w:r>
      <w:r>
        <w:rPr>
          <w:rFonts w:hint="eastAsia" w:ascii="仿宋_GB2312" w:hAnsi="Times New Roman" w:eastAsia="仿宋_GB2312" w:cs="Times New Roman"/>
          <w:color w:val="000000"/>
          <w:sz w:val="32"/>
          <w:szCs w:val="32"/>
        </w:rPr>
        <w:t>反映科技工作者的意见和建议，维护科技工作者的合法权益。弘扬尊重知识、尊重人才的社会风尚。举荐人才，表彰、宣传优秀科技工作者。负责科协网上平台建设。</w:t>
      </w:r>
      <w:r>
        <w:rPr>
          <w:rFonts w:hint="eastAsia" w:ascii="仿宋_GB2312" w:hAnsi="Times New Roman" w:eastAsia="仿宋_GB2312" w:cs="Times New Roman"/>
          <w:color w:val="000000"/>
          <w:sz w:val="32"/>
          <w:szCs w:val="32"/>
        </w:rPr>
        <w:br w:type="textWrapping"/>
      </w:r>
      <w:r>
        <w:rPr>
          <w:rFonts w:hint="eastAsia" w:ascii="仿宋_GB2312" w:hAnsi="Times New Roman" w:eastAsia="仿宋_GB2312" w:cs="Times New Roman"/>
          <w:color w:val="000000"/>
          <w:sz w:val="32"/>
          <w:szCs w:val="32"/>
          <w:lang w:val="en-US" w:eastAsia="zh-CN"/>
        </w:rPr>
        <w:t xml:space="preserve">    5.</w:t>
      </w:r>
      <w:r>
        <w:rPr>
          <w:rFonts w:hint="eastAsia" w:ascii="仿宋_GB2312" w:hAnsi="Times New Roman" w:eastAsia="仿宋_GB2312" w:cs="Times New Roman"/>
          <w:color w:val="000000"/>
          <w:sz w:val="32"/>
          <w:szCs w:val="32"/>
        </w:rPr>
        <w:t>参与科技政策和法规的制定。推进市级科技智库建设，开展决策咨询和决策论证，提出政策建议。参与政治协商，推动决策科学化、民主化。</w:t>
      </w:r>
      <w:r>
        <w:rPr>
          <w:rFonts w:hint="eastAsia" w:ascii="仿宋_GB2312" w:hAnsi="Times New Roman" w:eastAsia="仿宋_GB2312" w:cs="Times New Roman"/>
          <w:color w:val="000000"/>
          <w:sz w:val="32"/>
          <w:szCs w:val="32"/>
        </w:rPr>
        <w:br w:type="textWrapping"/>
      </w:r>
      <w:r>
        <w:rPr>
          <w:rFonts w:hint="eastAsia" w:ascii="仿宋_GB2312" w:hAnsi="Times New Roman" w:eastAsia="仿宋_GB2312" w:cs="Times New Roman"/>
          <w:color w:val="000000"/>
          <w:sz w:val="32"/>
          <w:szCs w:val="32"/>
          <w:lang w:val="en-US" w:eastAsia="zh-CN"/>
        </w:rPr>
        <w:t xml:space="preserve">    6.</w:t>
      </w:r>
      <w:r>
        <w:rPr>
          <w:rFonts w:hint="eastAsia" w:ascii="仿宋_GB2312" w:hAnsi="Times New Roman" w:eastAsia="仿宋_GB2312" w:cs="Times New Roman"/>
          <w:color w:val="000000"/>
          <w:sz w:val="32"/>
          <w:szCs w:val="32"/>
        </w:rPr>
        <w:t>开展科技工作者继续教育和技术培训工作。承担高端智力人才引进相关工作。组织科技工作者开展科技创新和科技咨询服务。</w:t>
      </w:r>
      <w:r>
        <w:rPr>
          <w:rFonts w:hint="eastAsia" w:ascii="仿宋_GB2312" w:hAnsi="Times New Roman" w:eastAsia="仿宋_GB2312" w:cs="Times New Roman"/>
          <w:color w:val="000000"/>
          <w:sz w:val="32"/>
          <w:szCs w:val="32"/>
        </w:rPr>
        <w:br w:type="textWrapping"/>
      </w:r>
      <w:r>
        <w:rPr>
          <w:rFonts w:hint="eastAsia" w:ascii="仿宋_GB2312" w:hAnsi="Times New Roman" w:eastAsia="仿宋_GB2312" w:cs="Times New Roman"/>
          <w:color w:val="000000"/>
          <w:sz w:val="32"/>
          <w:szCs w:val="32"/>
          <w:lang w:val="en-US" w:eastAsia="zh-CN"/>
        </w:rPr>
        <w:t xml:space="preserve">    7.</w:t>
      </w:r>
      <w:r>
        <w:rPr>
          <w:rFonts w:hint="eastAsia" w:ascii="仿宋_GB2312" w:hAnsi="Times New Roman" w:eastAsia="仿宋_GB2312" w:cs="Times New Roman"/>
          <w:color w:val="000000"/>
          <w:sz w:val="32"/>
          <w:szCs w:val="32"/>
        </w:rPr>
        <w:t>开展国际民间科技交流与合作，发展同国(境)外科技团体和科技工作者的友好交往。加强与台港澳地区民间科技交流，促进祖国统一。</w:t>
      </w:r>
      <w:r>
        <w:rPr>
          <w:rFonts w:hint="eastAsia" w:ascii="仿宋_GB2312" w:hAnsi="Times New Roman" w:eastAsia="仿宋_GB2312" w:cs="Times New Roman"/>
          <w:color w:val="000000"/>
          <w:sz w:val="32"/>
          <w:szCs w:val="32"/>
        </w:rPr>
        <w:br w:type="textWrapping"/>
      </w:r>
      <w:r>
        <w:rPr>
          <w:rFonts w:hint="eastAsia" w:ascii="仿宋_GB2312" w:hAnsi="Times New Roman" w:eastAsia="仿宋_GB2312" w:cs="Times New Roman"/>
          <w:color w:val="000000"/>
          <w:sz w:val="32"/>
          <w:szCs w:val="32"/>
          <w:lang w:val="en-US" w:eastAsia="zh-CN"/>
        </w:rPr>
        <w:t xml:space="preserve">    8.</w:t>
      </w:r>
      <w:r>
        <w:rPr>
          <w:rFonts w:hint="eastAsia" w:ascii="仿宋_GB2312" w:hAnsi="Times New Roman" w:eastAsia="仿宋_GB2312" w:cs="Times New Roman"/>
          <w:color w:val="000000"/>
          <w:sz w:val="32"/>
          <w:szCs w:val="32"/>
        </w:rPr>
        <w:t>开展科协组织建设，加强对市科协所属市级学会（协会、研究会、促进会）管理、指导、服务，推进学会改革和发展，增强自身发展能力。</w:t>
      </w:r>
      <w:r>
        <w:rPr>
          <w:rFonts w:hint="eastAsia" w:ascii="仿宋_GB2312" w:hAnsi="Times New Roman" w:eastAsia="仿宋_GB2312" w:cs="Times New Roman"/>
          <w:color w:val="000000"/>
          <w:sz w:val="32"/>
          <w:szCs w:val="32"/>
        </w:rPr>
        <w:br w:type="textWrapping"/>
      </w:r>
      <w:r>
        <w:rPr>
          <w:rFonts w:hint="eastAsia" w:ascii="仿宋_GB2312" w:hAnsi="Times New Roman" w:eastAsia="仿宋_GB2312" w:cs="Times New Roman"/>
          <w:color w:val="000000"/>
          <w:sz w:val="32"/>
          <w:szCs w:val="32"/>
          <w:lang w:val="en-US" w:eastAsia="zh-CN"/>
        </w:rPr>
        <w:t xml:space="preserve">    9.</w:t>
      </w:r>
      <w:r>
        <w:rPr>
          <w:rFonts w:hint="eastAsia" w:ascii="仿宋_GB2312" w:hAnsi="Times New Roman" w:eastAsia="仿宋_GB2312" w:cs="Times New Roman"/>
          <w:color w:val="000000"/>
          <w:sz w:val="32"/>
          <w:szCs w:val="32"/>
        </w:rPr>
        <w:t>承担市委、市政府交办的其他任务。</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（二）部门机构设置情况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pPr>
      <w:r>
        <w:rPr>
          <w:rFonts w:hint="eastAsia" w:ascii="仿宋_GB2312" w:eastAsia="仿宋_GB2312"/>
          <w:bCs/>
          <w:sz w:val="32"/>
          <w:szCs w:val="32"/>
        </w:rPr>
        <w:t>从预算单位构成看，衢州市科学技术协会部门预算包括：</w:t>
      </w:r>
      <w:r>
        <w:rPr>
          <w:rFonts w:hint="eastAsia" w:ascii="仿宋_GB2312" w:eastAsia="仿宋_GB2312"/>
          <w:bCs/>
          <w:sz w:val="32"/>
          <w:szCs w:val="32"/>
          <w:highlight w:val="none"/>
          <w:lang w:val="en-US" w:eastAsia="zh-CN"/>
        </w:rPr>
        <w:t>衢州市科学技术协会</w:t>
      </w:r>
      <w:r>
        <w:rPr>
          <w:rFonts w:hint="eastAsia" w:ascii="仿宋_GB2312" w:eastAsia="仿宋_GB2312"/>
          <w:bCs/>
          <w:sz w:val="32"/>
          <w:szCs w:val="32"/>
          <w:highlight w:val="none"/>
        </w:rPr>
        <w:t>本级预算。</w:t>
      </w:r>
    </w:p>
    <w:p>
      <w:pPr>
        <w:spacing w:line="520" w:lineRule="exact"/>
        <w:ind w:firstLine="640" w:firstLineChars="200"/>
        <w:rPr>
          <w:rFonts w:ascii="楷体_GB2312" w:hAnsi="楷体_GB2312" w:eastAsia="楷体_GB2312" w:cs="楷体_GB2312"/>
          <w:color w:val="000000"/>
          <w:sz w:val="32"/>
          <w:szCs w:val="32"/>
        </w:rPr>
      </w:pPr>
      <w:r>
        <w:rPr>
          <w:rStyle w:val="9"/>
          <w:rFonts w:hint="eastAsia" w:ascii="黑体" w:eastAsia="黑体"/>
          <w:b w:val="0"/>
          <w:color w:val="000000"/>
          <w:sz w:val="32"/>
          <w:szCs w:val="32"/>
        </w:rPr>
        <w:t>二、2024年衢州市科学技术协会部门预算安排情况说明</w:t>
      </w:r>
      <w:r>
        <w:rPr>
          <w:rFonts w:hint="eastAsia"/>
          <w:color w:val="000000"/>
          <w:sz w:val="32"/>
          <w:szCs w:val="32"/>
        </w:rPr>
        <w:br w:type="textWrapping"/>
      </w:r>
      <w:r>
        <w:rPr>
          <w:rFonts w:hint="eastAsia" w:ascii="仿宋_GB2312" w:eastAsia="仿宋_GB2312"/>
          <w:b/>
          <w:bCs/>
          <w:color w:val="000000"/>
          <w:sz w:val="32"/>
          <w:szCs w:val="32"/>
        </w:rPr>
        <w:t>　　</w:t>
      </w:r>
      <w:r>
        <w:rPr>
          <w:rFonts w:hint="eastAsia" w:ascii="楷体_GB2312" w:hAnsi="楷体_GB2312" w:eastAsia="楷体_GB2312" w:cs="楷体_GB2312"/>
          <w:color w:val="000000"/>
          <w:sz w:val="32"/>
          <w:szCs w:val="32"/>
        </w:rPr>
        <w:t>（一）关于衢州市科学技术协会</w:t>
      </w:r>
      <w:r>
        <w:rPr>
          <w:rStyle w:val="9"/>
          <w:rFonts w:hint="eastAsia" w:ascii="楷体_GB2312" w:hAnsi="楷体_GB2312" w:eastAsia="楷体_GB2312" w:cs="楷体_GB2312"/>
          <w:b w:val="0"/>
          <w:bCs w:val="0"/>
          <w:color w:val="000000"/>
          <w:sz w:val="32"/>
          <w:szCs w:val="32"/>
        </w:rPr>
        <w:t>2024年收支预算情况的总体说明</w:t>
      </w:r>
    </w:p>
    <w:p>
      <w:pPr>
        <w:spacing w:line="520" w:lineRule="exact"/>
        <w:ind w:firstLine="480" w:firstLineChars="150"/>
        <w:rPr>
          <w:rFonts w:ascii="楷体_GB2312" w:hAnsi="楷体_GB2312" w:eastAsia="楷体_GB2312" w:cs="楷体_GB2312"/>
          <w:b/>
          <w:color w:val="000000"/>
          <w:sz w:val="32"/>
          <w:szCs w:val="32"/>
        </w:rPr>
      </w:pPr>
      <w:r>
        <w:rPr>
          <w:rFonts w:hint="eastAsia" w:ascii="仿宋_GB2312" w:eastAsia="仿宋_GB2312"/>
          <w:bCs/>
          <w:color w:val="000000"/>
          <w:sz w:val="32"/>
          <w:szCs w:val="32"/>
        </w:rPr>
        <w:t xml:space="preserve"> 按照</w:t>
      </w:r>
      <w:r>
        <w:rPr>
          <w:rFonts w:hint="eastAsia" w:ascii="仿宋_GB2312" w:eastAsia="仿宋_GB2312"/>
          <w:bCs/>
          <w:sz w:val="32"/>
          <w:szCs w:val="32"/>
        </w:rPr>
        <w:t>综合预算的原则，衢州市科学技术协会</w:t>
      </w:r>
      <w:r>
        <w:rPr>
          <w:rFonts w:hint="eastAsia" w:ascii="仿宋_GB2312" w:eastAsia="仿宋_GB2312"/>
          <w:color w:val="000000"/>
          <w:sz w:val="32"/>
          <w:szCs w:val="32"/>
        </w:rPr>
        <w:t>所有收入和支出均纳入部门预算管理。收入包括：一般公共预算收入、其他收入；支出包括：科学技术支出、社会保障和就业支出、卫生健康支出、住房保障支出。衢州市科学技术协会2024年收支总预算886.13万元。</w:t>
      </w:r>
    </w:p>
    <w:p>
      <w:pPr>
        <w:spacing w:line="520" w:lineRule="exact"/>
        <w:ind w:firstLine="64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（二）关于衢州市科学技术协会2024年收入预算情况说明</w:t>
      </w:r>
    </w:p>
    <w:p>
      <w:pPr>
        <w:spacing w:line="520" w:lineRule="exact"/>
        <w:ind w:firstLine="642"/>
        <w:rPr>
          <w:rFonts w:hint="eastAsia"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衢州市科学技术协会2024年收入预算886.13万元，比上年执行数减少</w:t>
      </w:r>
      <w:r>
        <w:rPr>
          <w:rFonts w:hint="eastAsia" w:ascii="仿宋_GB2312" w:hAnsi="Times New Roman" w:eastAsia="仿宋_GB2312" w:cs="Times New Roman"/>
          <w:color w:val="000000"/>
          <w:sz w:val="32"/>
          <w:szCs w:val="32"/>
          <w:lang w:val="en-US" w:eastAsia="zh-CN"/>
        </w:rPr>
        <w:t>723.12</w:t>
      </w:r>
      <w:r>
        <w:rPr>
          <w:rFonts w:hint="eastAsia" w:ascii="仿宋_GB2312" w:hAnsi="Times New Roman" w:eastAsia="仿宋_GB2312" w:cs="Times New Roman"/>
          <w:color w:val="000000"/>
          <w:sz w:val="32"/>
          <w:szCs w:val="32"/>
        </w:rPr>
        <w:t>万元，下降</w:t>
      </w:r>
      <w:r>
        <w:rPr>
          <w:rFonts w:hint="eastAsia" w:ascii="仿宋_GB2312" w:hAnsi="Times New Roman" w:eastAsia="仿宋_GB2312" w:cs="Times New Roman"/>
          <w:color w:val="000000"/>
          <w:sz w:val="32"/>
          <w:szCs w:val="32"/>
          <w:lang w:val="en-US" w:eastAsia="zh-CN"/>
        </w:rPr>
        <w:t>44.9</w:t>
      </w:r>
      <w:r>
        <w:rPr>
          <w:rFonts w:hint="eastAsia" w:ascii="仿宋_GB2312" w:hAnsi="Times New Roman" w:eastAsia="仿宋_GB2312" w:cs="Times New Roman"/>
          <w:color w:val="000000"/>
          <w:sz w:val="32"/>
          <w:szCs w:val="32"/>
        </w:rPr>
        <w:t>%，主要是</w:t>
      </w:r>
      <w:r>
        <w:rPr>
          <w:rFonts w:hint="eastAsia" w:ascii="仿宋_GB2312" w:hAnsi="Times New Roman" w:eastAsia="仿宋_GB2312" w:cs="Times New Roman"/>
          <w:color w:val="000000"/>
          <w:sz w:val="32"/>
          <w:szCs w:val="32"/>
          <w:lang w:val="en-US" w:eastAsia="zh-CN"/>
        </w:rPr>
        <w:t>2024年项目支出经费年初预算比上年执行数有所减少，如市级人才专项资金年初预算不由我单位申报，但在预算执行中根据相关文件安排追加我单位此项资金收入。</w:t>
      </w:r>
    </w:p>
    <w:p>
      <w:pPr>
        <w:spacing w:line="520" w:lineRule="exact"/>
        <w:ind w:firstLine="642"/>
        <w:rPr>
          <w:rFonts w:ascii="仿宋_GB2312" w:eastAsia="仿宋_GB2312"/>
          <w:color w:val="000000"/>
          <w:sz w:val="32"/>
          <w:szCs w:val="32"/>
          <w:highlight w:val="none"/>
        </w:rPr>
      </w:pPr>
      <w:r>
        <w:rPr>
          <w:rFonts w:hint="eastAsia" w:ascii="仿宋_GB2312" w:eastAsia="仿宋_GB2312"/>
          <w:color w:val="000000"/>
          <w:sz w:val="32"/>
          <w:szCs w:val="32"/>
        </w:rPr>
        <w:t>其中：一般公共预算拨款收入860.13万元（上年结转0.00万元），占97.1%；其他收入26.00万元，占2.9%。</w:t>
      </w:r>
      <w:r>
        <w:rPr>
          <w:rFonts w:hint="eastAsia" w:ascii="仿宋_GB2312" w:eastAsia="仿宋_GB2312"/>
          <w:color w:val="000000"/>
          <w:sz w:val="32"/>
          <w:szCs w:val="32"/>
        </w:rPr>
        <w:br w:type="textWrapping"/>
      </w:r>
      <w:r>
        <w:rPr>
          <w:rFonts w:hint="eastAsia" w:ascii="楷体_GB2312" w:hAnsi="楷体_GB2312" w:eastAsia="楷体_GB2312" w:cs="楷体_GB2312"/>
          <w:bCs/>
          <w:color w:val="000000"/>
          <w:sz w:val="32"/>
          <w:szCs w:val="32"/>
        </w:rPr>
        <w:t>　　（三）关于衢州市科学技术协会2024年支出预算情况说明</w:t>
      </w:r>
      <w:r>
        <w:rPr>
          <w:rFonts w:hint="eastAsia" w:ascii="楷体_GB2312" w:hAnsi="楷体_GB2312" w:eastAsia="楷体_GB2312" w:cs="楷体_GB2312"/>
          <w:bCs/>
          <w:color w:val="000000"/>
          <w:sz w:val="32"/>
          <w:szCs w:val="32"/>
        </w:rPr>
        <w:br w:type="textWrapping"/>
      </w:r>
      <w:r>
        <w:rPr>
          <w:rFonts w:hint="eastAsia" w:ascii="仿宋_GB2312" w:eastAsia="仿宋_GB2312"/>
          <w:color w:val="000000"/>
          <w:sz w:val="32"/>
          <w:szCs w:val="32"/>
        </w:rPr>
        <w:t>　</w:t>
      </w:r>
      <w:r>
        <w:rPr>
          <w:rFonts w:hint="eastAsia" w:ascii="仿宋_GB2312" w:hAnsi="仿宋_GB2312" w:eastAsia="仿宋_GB2312" w:cs="仿宋_GB2312"/>
          <w:color w:val="000000"/>
          <w:sz w:val="32"/>
          <w:szCs w:val="32"/>
        </w:rPr>
        <w:t>　衢州市科学技术协会</w:t>
      </w:r>
      <w:r>
        <w:rPr>
          <w:rFonts w:hint="eastAsia" w:ascii="仿宋_GB2312" w:hAnsi="仿宋_GB2312" w:eastAsia="仿宋_GB2312" w:cs="仿宋_GB2312"/>
          <w:color w:val="000000"/>
          <w:sz w:val="32"/>
          <w:szCs w:val="32"/>
          <w:highlight w:val="none"/>
        </w:rPr>
        <w:t>2024年支出预算886.13万元，比上年执行数减少</w:t>
      </w:r>
      <w:r>
        <w:rPr>
          <w:rFonts w:hint="eastAsia" w:ascii="仿宋_GB2312" w:hAnsi="仿宋_GB2312" w:eastAsia="仿宋_GB2312" w:cs="仿宋_GB2312"/>
          <w:color w:val="000000"/>
          <w:sz w:val="32"/>
          <w:szCs w:val="32"/>
          <w:highlight w:val="none"/>
          <w:lang w:val="en-US" w:eastAsia="zh-CN"/>
        </w:rPr>
        <w:t>723.12</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highlight w:val="none"/>
        </w:rPr>
        <w:t>下降</w:t>
      </w:r>
      <w:r>
        <w:rPr>
          <w:rFonts w:hint="eastAsia" w:ascii="仿宋_GB2312" w:hAnsi="仿宋_GB2312" w:eastAsia="仿宋_GB2312" w:cs="仿宋_GB2312"/>
          <w:color w:val="000000"/>
          <w:sz w:val="32"/>
          <w:highlight w:val="none"/>
          <w:lang w:val="en-US" w:eastAsia="zh-CN"/>
        </w:rPr>
        <w:t>44.9</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szCs w:val="32"/>
          <w:highlight w:val="none"/>
        </w:rPr>
        <w:t>主要是</w:t>
      </w:r>
      <w:r>
        <w:rPr>
          <w:rFonts w:hint="eastAsia" w:ascii="仿宋_GB2312" w:hAnsi="Times New Roman" w:eastAsia="仿宋_GB2312" w:cs="Times New Roman"/>
          <w:color w:val="000000"/>
          <w:sz w:val="32"/>
          <w:szCs w:val="32"/>
          <w:highlight w:val="none"/>
          <w:lang w:val="en-US" w:eastAsia="zh-CN"/>
        </w:rPr>
        <w:t>2024年项目支出经费年初预算比上年执行数有所减少</w:t>
      </w:r>
      <w:r>
        <w:rPr>
          <w:rFonts w:hint="eastAsia" w:ascii="仿宋_GB2312" w:hAnsi="仿宋_GB2312" w:eastAsia="仿宋_GB2312" w:cs="仿宋_GB2312"/>
          <w:color w:val="000000"/>
          <w:sz w:val="32"/>
          <w:szCs w:val="32"/>
          <w:highlight w:val="none"/>
        </w:rPr>
        <w:t>。</w:t>
      </w:r>
    </w:p>
    <w:p>
      <w:pPr>
        <w:spacing w:line="520" w:lineRule="exact"/>
        <w:ind w:firstLine="630"/>
        <w:rPr>
          <w:rFonts w:ascii="仿宋_GB2312" w:eastAsia="仿宋_GB2312"/>
          <w:color w:val="000000"/>
          <w:sz w:val="32"/>
          <w:szCs w:val="32"/>
        </w:rPr>
      </w:pPr>
      <w:r>
        <w:rPr>
          <w:rFonts w:hint="eastAsia" w:ascii="仿宋_GB2312" w:eastAsia="仿宋_GB2312"/>
          <w:color w:val="000000"/>
          <w:sz w:val="32"/>
          <w:szCs w:val="32"/>
        </w:rPr>
        <w:t>1.按支出功能分类，包括科学技术支出763.17万元、社会保障和就业支出60.98万元、卫生健康支出8.77万元、住房保障支出53.22万元。</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2.按支出用途分类，包括人员支出504.99万元，占57.0%；日常公用支出49.94万元，占5.6%；项目支出331.20万元，占37.4%。</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年终结转结余0.00万元。</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（四）关于衢州市科学技术协会2024年财政拨款收支预算情况的总体说明</w:t>
      </w:r>
    </w:p>
    <w:p>
      <w:pPr>
        <w:spacing w:line="520" w:lineRule="exact"/>
        <w:ind w:firstLine="640"/>
        <w:rPr>
          <w:rFonts w:ascii="仿宋_GB2312" w:eastAsia="仿宋_GB2312"/>
          <w:color w:val="000000"/>
          <w:sz w:val="32"/>
          <w:szCs w:val="32"/>
        </w:rPr>
      </w:pPr>
      <w:r>
        <w:rPr>
          <w:rFonts w:hint="eastAsia" w:ascii="仿宋_GB2312" w:eastAsia="仿宋_GB2312"/>
          <w:color w:val="000000"/>
          <w:sz w:val="32"/>
          <w:szCs w:val="32"/>
        </w:rPr>
        <w:t>衢州市科学技术协</w:t>
      </w:r>
      <w:r>
        <w:rPr>
          <w:rFonts w:hint="eastAsia" w:ascii="仿宋_GB2312" w:eastAsia="仿宋_GB2312"/>
          <w:color w:val="000000"/>
          <w:sz w:val="32"/>
          <w:szCs w:val="32"/>
          <w:lang w:val="en-US" w:eastAsia="zh-CN"/>
        </w:rPr>
        <w:t>会</w:t>
      </w:r>
      <w:bookmarkStart w:id="0" w:name="_GoBack"/>
      <w:bookmarkEnd w:id="0"/>
      <w:r>
        <w:rPr>
          <w:rFonts w:hint="eastAsia" w:ascii="仿宋_GB2312" w:eastAsia="仿宋_GB2312"/>
          <w:color w:val="000000"/>
          <w:sz w:val="32"/>
          <w:szCs w:val="32"/>
        </w:rPr>
        <w:t>2024年财政拨款收支总预算860.13万元。收入包括：一般公共预算860.13万元；支出包括：科学技术支出737.17万元、社会保障和就业支出60.98万元、卫生健康支出8.77万元、住房保障支出53.22万元。</w:t>
      </w:r>
    </w:p>
    <w:p>
      <w:pPr>
        <w:numPr>
          <w:ilvl w:val="0"/>
          <w:numId w:val="1"/>
        </w:numPr>
        <w:spacing w:line="520" w:lineRule="exact"/>
        <w:ind w:firstLine="640"/>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关于衢州市科学技术协会2024年一般公共预算拨款情况说明</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1.一般公共预算拨款规模变化情况。</w:t>
      </w:r>
    </w:p>
    <w:p>
      <w:pPr>
        <w:spacing w:line="520" w:lineRule="exact"/>
        <w:ind w:firstLine="642"/>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衢州市科学技术协</w:t>
      </w:r>
      <w:r>
        <w:rPr>
          <w:rFonts w:hint="eastAsia" w:ascii="仿宋_GB2312" w:hAnsi="仿宋_GB2312" w:eastAsia="仿宋_GB2312" w:cs="仿宋_GB2312"/>
          <w:color w:val="000000"/>
          <w:sz w:val="32"/>
          <w:szCs w:val="32"/>
          <w:highlight w:val="none"/>
          <w:lang w:val="en-US" w:eastAsia="zh-CN"/>
        </w:rPr>
        <w:t>会</w:t>
      </w:r>
      <w:r>
        <w:rPr>
          <w:rFonts w:hint="eastAsia" w:ascii="仿宋_GB2312" w:hAnsi="仿宋_GB2312" w:eastAsia="仿宋_GB2312" w:cs="仿宋_GB2312"/>
          <w:color w:val="000000"/>
          <w:sz w:val="32"/>
          <w:szCs w:val="32"/>
          <w:highlight w:val="none"/>
        </w:rPr>
        <w:t>2024年一般公共预算拨款</w:t>
      </w:r>
      <w:r>
        <w:rPr>
          <w:rFonts w:hint="eastAsia" w:ascii="仿宋_GB2312" w:hAnsi="仿宋_GB2312" w:eastAsia="仿宋_GB2312" w:cs="仿宋_GB2312"/>
          <w:bCs/>
          <w:color w:val="000000"/>
          <w:sz w:val="32"/>
          <w:szCs w:val="32"/>
          <w:highlight w:val="none"/>
        </w:rPr>
        <w:t>860.13</w:t>
      </w:r>
      <w:r>
        <w:rPr>
          <w:rFonts w:hint="eastAsia" w:ascii="仿宋_GB2312" w:hAnsi="仿宋_GB2312" w:eastAsia="仿宋_GB2312" w:cs="仿宋_GB2312"/>
          <w:color w:val="000000"/>
          <w:sz w:val="32"/>
          <w:szCs w:val="32"/>
          <w:highlight w:val="none"/>
        </w:rPr>
        <w:t>万元，比上年执行数减少</w:t>
      </w:r>
      <w:r>
        <w:rPr>
          <w:rFonts w:hint="eastAsia" w:ascii="仿宋_GB2312" w:hAnsi="仿宋_GB2312" w:eastAsia="仿宋_GB2312" w:cs="仿宋_GB2312"/>
          <w:color w:val="000000"/>
          <w:sz w:val="32"/>
          <w:szCs w:val="32"/>
          <w:highlight w:val="none"/>
          <w:lang w:val="en-US" w:eastAsia="zh-CN"/>
        </w:rPr>
        <w:t>749.12</w:t>
      </w:r>
      <w:r>
        <w:rPr>
          <w:rFonts w:hint="eastAsia" w:ascii="仿宋_GB2312" w:hAnsi="仿宋_GB2312" w:eastAsia="仿宋_GB2312" w:cs="仿宋_GB2312"/>
          <w:color w:val="000000"/>
          <w:sz w:val="32"/>
          <w:szCs w:val="32"/>
          <w:highlight w:val="none"/>
        </w:rPr>
        <w:t>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46.6</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szCs w:val="32"/>
          <w:highlight w:val="none"/>
        </w:rPr>
        <w:t>主要是</w:t>
      </w:r>
      <w:r>
        <w:rPr>
          <w:rFonts w:hint="eastAsia" w:ascii="仿宋_GB2312" w:hAnsi="Times New Roman" w:eastAsia="仿宋_GB2312" w:cs="Times New Roman"/>
          <w:color w:val="000000"/>
          <w:sz w:val="32"/>
          <w:szCs w:val="32"/>
          <w:lang w:val="en-US" w:eastAsia="zh-CN"/>
        </w:rPr>
        <w:t>2024年项目支出经费年初预算比上年执行数有所减少，如市级人才专项资金年初预算不由我单位申报，但在预算执行中根据相关文件安排追加我单位此项资金收入。</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2.一般公共预算拨款结构情况。</w:t>
      </w:r>
    </w:p>
    <w:p>
      <w:pPr>
        <w:spacing w:line="520" w:lineRule="exact"/>
        <w:ind w:firstLine="640" w:firstLineChars="200"/>
        <w:rPr>
          <w:rFonts w:ascii="仿宋_GB2312" w:hAnsi="仿宋_GB2312" w:eastAsia="仿宋_GB2312" w:cs="仿宋_GB2312"/>
          <w:b/>
          <w:color w:val="000000"/>
          <w:sz w:val="32"/>
          <w:szCs w:val="32"/>
        </w:rPr>
      </w:pPr>
      <w:r>
        <w:rPr>
          <w:rFonts w:hint="eastAsia" w:ascii="仿宋_GB2312" w:hAnsi="仿宋_GB2312" w:eastAsia="仿宋_GB2312" w:cs="仿宋_GB2312"/>
          <w:color w:val="000000"/>
          <w:sz w:val="32"/>
          <w:szCs w:val="32"/>
        </w:rPr>
        <w:t>科学技术支出737.17万元，占85.7%；社会保障和就业支出60.98万元，占7.1%；卫生健康支出8.77万元，占1.0%；住房保障支出53.22万元，占6.2%。</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3.一般公共预算拨款具体使用情况。</w:t>
      </w:r>
    </w:p>
    <w:p>
      <w:pPr>
        <w:spacing w:line="52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highlight w:val="none"/>
          <w:lang w:val="en-US" w:eastAsia="zh-CN"/>
        </w:rPr>
        <w:t>科学技术支出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val="en-US" w:eastAsia="zh-CN"/>
        </w:rPr>
        <w:t>科学技术普及</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val="en-US" w:eastAsia="zh-CN"/>
        </w:rPr>
        <w:t>机构运行</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lang w:val="en-US" w:eastAsia="zh-CN"/>
        </w:rPr>
        <w:t>431.97</w:t>
      </w:r>
      <w:r>
        <w:rPr>
          <w:rFonts w:hint="eastAsia" w:ascii="仿宋_GB2312" w:hAnsi="仿宋_GB2312" w:eastAsia="仿宋_GB2312" w:cs="仿宋_GB2312"/>
          <w:color w:val="000000"/>
          <w:sz w:val="32"/>
          <w:szCs w:val="32"/>
        </w:rPr>
        <w:t>万元，主要用于</w:t>
      </w:r>
      <w:r>
        <w:rPr>
          <w:rFonts w:hint="eastAsia" w:ascii="仿宋_GB2312" w:eastAsia="仿宋_GB2312"/>
          <w:color w:val="000000"/>
          <w:sz w:val="32"/>
          <w:szCs w:val="32"/>
        </w:rPr>
        <w:t>单位的基本支出</w:t>
      </w:r>
      <w:r>
        <w:rPr>
          <w:rFonts w:hint="eastAsia" w:ascii="仿宋_GB2312" w:hAnsi="仿宋_GB2312" w:eastAsia="仿宋_GB2312" w:cs="仿宋_GB2312"/>
          <w:color w:val="000000"/>
          <w:sz w:val="32"/>
          <w:szCs w:val="32"/>
        </w:rPr>
        <w:t>。</w:t>
      </w:r>
    </w:p>
    <w:p>
      <w:pPr>
        <w:spacing w:line="52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highlight w:val="none"/>
          <w:lang w:val="en-US" w:eastAsia="zh-CN"/>
        </w:rPr>
        <w:t>科学技术支出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val="en-US" w:eastAsia="zh-CN"/>
        </w:rPr>
        <w:t>科学技术普及</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val="en-US" w:eastAsia="zh-CN"/>
        </w:rPr>
        <w:t>科普活动</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lang w:val="en-US" w:eastAsia="zh-CN"/>
        </w:rPr>
        <w:t>285.00</w:t>
      </w:r>
      <w:r>
        <w:rPr>
          <w:rFonts w:hint="eastAsia" w:ascii="仿宋_GB2312" w:hAnsi="仿宋_GB2312" w:eastAsia="仿宋_GB2312" w:cs="仿宋_GB2312"/>
          <w:color w:val="000000"/>
          <w:sz w:val="32"/>
          <w:szCs w:val="32"/>
        </w:rPr>
        <w:t>万元，主要用于</w:t>
      </w:r>
      <w:r>
        <w:rPr>
          <w:rFonts w:hint="eastAsia" w:ascii="仿宋_GB2312" w:eastAsia="仿宋_GB2312"/>
          <w:color w:val="000000"/>
          <w:sz w:val="32"/>
          <w:szCs w:val="32"/>
        </w:rPr>
        <w:t>开展科普活动的支出</w:t>
      </w:r>
      <w:r>
        <w:rPr>
          <w:rFonts w:hint="eastAsia" w:ascii="仿宋_GB2312" w:hAnsi="仿宋_GB2312" w:eastAsia="仿宋_GB2312" w:cs="仿宋_GB2312"/>
          <w:color w:val="000000"/>
          <w:sz w:val="32"/>
          <w:szCs w:val="32"/>
        </w:rPr>
        <w:t>。</w:t>
      </w:r>
    </w:p>
    <w:p>
      <w:pPr>
        <w:spacing w:line="52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ascii="仿宋_GB2312" w:hAnsi="仿宋_GB2312" w:eastAsia="仿宋_GB2312" w:cs="仿宋_GB2312"/>
          <w:color w:val="000000"/>
          <w:sz w:val="32"/>
          <w:szCs w:val="32"/>
          <w:highlight w:val="none"/>
          <w:lang w:val="en-US" w:eastAsia="zh-CN"/>
        </w:rPr>
        <w:t>科学技术支出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val="en-US" w:eastAsia="zh-CN"/>
        </w:rPr>
        <w:t>科学技术普及</w:t>
      </w:r>
      <w:r>
        <w:rPr>
          <w:rFonts w:hint="eastAsia" w:ascii="仿宋_GB2312" w:hAnsi="仿宋_GB2312" w:eastAsia="仿宋_GB2312" w:cs="仿宋_GB2312"/>
          <w:color w:val="000000"/>
          <w:sz w:val="32"/>
          <w:szCs w:val="32"/>
          <w:highlight w:val="none"/>
        </w:rPr>
        <w:t>（款）</w:t>
      </w:r>
      <w:r>
        <w:rPr>
          <w:rFonts w:hint="eastAsia" w:ascii="仿宋_GB2312" w:eastAsia="仿宋_GB2312"/>
          <w:color w:val="000000"/>
          <w:sz w:val="32"/>
          <w:szCs w:val="32"/>
        </w:rPr>
        <w:t>其他科学技术普及支出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20.20</w:t>
      </w:r>
      <w:r>
        <w:rPr>
          <w:rFonts w:hint="eastAsia" w:ascii="仿宋_GB2312" w:hAnsi="仿宋_GB2312" w:eastAsia="仿宋_GB2312" w:cs="仿宋_GB2312"/>
          <w:color w:val="000000"/>
          <w:sz w:val="32"/>
          <w:szCs w:val="32"/>
        </w:rPr>
        <w:t>万元，主要用于</w:t>
      </w:r>
      <w:r>
        <w:rPr>
          <w:rFonts w:hint="eastAsia" w:ascii="仿宋_GB2312" w:eastAsia="仿宋_GB2312"/>
          <w:color w:val="000000"/>
          <w:sz w:val="32"/>
          <w:szCs w:val="32"/>
        </w:rPr>
        <w:t>其他科学技术普及方面的支出</w:t>
      </w:r>
      <w:r>
        <w:rPr>
          <w:rFonts w:hint="eastAsia" w:ascii="仿宋_GB2312" w:hAnsi="仿宋_GB2312" w:eastAsia="仿宋_GB2312" w:cs="仿宋_GB2312"/>
          <w:color w:val="000000"/>
          <w:sz w:val="32"/>
          <w:szCs w:val="32"/>
        </w:rPr>
        <w:t>。</w:t>
      </w:r>
    </w:p>
    <w:p>
      <w:pPr>
        <w:spacing w:line="52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）社会保障和就业支出（类）行政事业单位养老支出（款）机关事业单位基本养老保险缴费支出（项）</w:t>
      </w:r>
      <w:r>
        <w:rPr>
          <w:rFonts w:hint="eastAsia" w:ascii="仿宋_GB2312" w:hAnsi="仿宋_GB2312" w:eastAsia="仿宋_GB2312" w:cs="仿宋_GB2312"/>
          <w:color w:val="000000"/>
          <w:sz w:val="32"/>
          <w:szCs w:val="32"/>
          <w:lang w:val="en-US" w:eastAsia="zh-CN"/>
        </w:rPr>
        <w:t>33.31万元，主要用于</w:t>
      </w:r>
      <w:r>
        <w:rPr>
          <w:rFonts w:ascii="仿宋_GB2312" w:eastAsia="仿宋_GB2312"/>
          <w:color w:val="000000"/>
          <w:sz w:val="32"/>
          <w:szCs w:val="32"/>
        </w:rPr>
        <w:t>单位</w:t>
      </w:r>
      <w:r>
        <w:rPr>
          <w:rFonts w:hint="eastAsia" w:ascii="仿宋_GB2312" w:hAnsi="Times New Roman" w:eastAsia="仿宋_GB2312" w:cs="Times New Roman"/>
          <w:color w:val="000000"/>
          <w:sz w:val="32"/>
          <w:szCs w:val="32"/>
          <w:lang w:val="en-US" w:eastAsia="zh-CN"/>
        </w:rPr>
        <w:t>缴纳的基本</w:t>
      </w:r>
      <w:r>
        <w:rPr>
          <w:rFonts w:ascii="仿宋_GB2312" w:eastAsia="仿宋_GB2312"/>
          <w:color w:val="000000"/>
          <w:sz w:val="32"/>
          <w:szCs w:val="32"/>
        </w:rPr>
        <w:t>养老保险费支出</w:t>
      </w:r>
      <w:r>
        <w:rPr>
          <w:rFonts w:hint="eastAsia" w:ascii="仿宋_GB2312" w:eastAsia="仿宋_GB2312"/>
          <w:color w:val="000000"/>
          <w:sz w:val="32"/>
          <w:szCs w:val="32"/>
          <w:lang w:eastAsia="zh-CN"/>
        </w:rPr>
        <w:t>。</w:t>
      </w:r>
    </w:p>
    <w:p>
      <w:pPr>
        <w:pStyle w:val="2"/>
        <w:ind w:firstLine="640" w:firstLineChars="200"/>
        <w:rPr>
          <w:rFonts w:hint="default" w:ascii="仿宋_GB2312" w:eastAsia="仿宋_GB2312"/>
          <w:color w:val="000000"/>
          <w:sz w:val="32"/>
          <w:szCs w:val="32"/>
          <w:lang w:val="en-US" w:eastAsia="zh-CN"/>
        </w:rPr>
      </w:pPr>
      <w:r>
        <w:rPr>
          <w:rFonts w:hint="eastAsia" w:ascii="仿宋_GB2312" w:hAnsi="仿宋_GB2312" w:eastAsia="仿宋_GB2312" w:cs="仿宋_GB2312"/>
          <w:color w:val="000000"/>
          <w:kern w:val="2"/>
          <w:sz w:val="32"/>
          <w:szCs w:val="32"/>
          <w:highlight w:val="none"/>
          <w:lang w:val="en-US" w:eastAsia="zh-CN" w:bidi="ar-SA"/>
        </w:rPr>
        <w:t>（5）</w:t>
      </w:r>
      <w:r>
        <w:rPr>
          <w:rFonts w:ascii="仿宋_GB2312" w:eastAsia="仿宋_GB2312"/>
          <w:color w:val="000000"/>
          <w:sz w:val="32"/>
          <w:szCs w:val="32"/>
        </w:rPr>
        <w:t>社会保障和就业支出（类）行政事业单位养老支出（款）机关事业单位职业年金缴费支出（项）</w:t>
      </w:r>
      <w:r>
        <w:rPr>
          <w:rFonts w:hint="eastAsia"/>
          <w:color w:val="000000"/>
          <w:sz w:val="32"/>
          <w:szCs w:val="32"/>
          <w:lang w:val="en-US" w:eastAsia="zh-CN"/>
        </w:rPr>
        <w:t>16.66万元，主要用于</w:t>
      </w:r>
      <w:r>
        <w:rPr>
          <w:rFonts w:hint="eastAsia" w:cs="Times New Roman"/>
          <w:color w:val="000000"/>
          <w:sz w:val="32"/>
          <w:szCs w:val="32"/>
          <w:lang w:val="en-US" w:eastAsia="zh-CN"/>
        </w:rPr>
        <w:t>单位缴纳的职业年金支出。</w:t>
      </w:r>
    </w:p>
    <w:p>
      <w:pPr>
        <w:pStyle w:val="2"/>
        <w:ind w:firstLine="640" w:firstLineChars="200"/>
        <w:rPr>
          <w:rFonts w:hint="default" w:ascii="仿宋_GB2312" w:eastAsia="仿宋_GB2312"/>
          <w:color w:val="000000"/>
          <w:sz w:val="32"/>
          <w:szCs w:val="32"/>
          <w:lang w:val="en-US" w:eastAsia="zh-CN"/>
        </w:rPr>
      </w:pPr>
      <w:r>
        <w:rPr>
          <w:rFonts w:hint="eastAsia"/>
          <w:color w:val="000000"/>
          <w:sz w:val="32"/>
          <w:szCs w:val="32"/>
          <w:lang w:eastAsia="zh-CN"/>
        </w:rPr>
        <w:t>（</w:t>
      </w:r>
      <w:r>
        <w:rPr>
          <w:rFonts w:hint="eastAsia"/>
          <w:color w:val="000000"/>
          <w:sz w:val="32"/>
          <w:szCs w:val="32"/>
          <w:lang w:val="en-US" w:eastAsia="zh-CN"/>
        </w:rPr>
        <w:t>6</w:t>
      </w:r>
      <w:r>
        <w:rPr>
          <w:rFonts w:hint="eastAsia"/>
          <w:color w:val="000000"/>
          <w:sz w:val="32"/>
          <w:szCs w:val="32"/>
          <w:lang w:eastAsia="zh-CN"/>
        </w:rPr>
        <w:t>）</w:t>
      </w:r>
      <w:r>
        <w:rPr>
          <w:rFonts w:hint="eastAsia" w:ascii="仿宋_GB2312" w:eastAsia="仿宋_GB2312"/>
          <w:color w:val="000000"/>
          <w:sz w:val="32"/>
          <w:szCs w:val="32"/>
        </w:rPr>
        <w:t>社会保障和就业支出（类）行政事业单位养老支出（款）其他行政事业单位</w:t>
      </w:r>
      <w:r>
        <w:rPr>
          <w:rFonts w:ascii="仿宋_GB2312" w:eastAsia="仿宋_GB2312"/>
          <w:color w:val="000000"/>
          <w:sz w:val="32"/>
          <w:szCs w:val="32"/>
        </w:rPr>
        <w:t>养老支出</w:t>
      </w:r>
      <w:r>
        <w:rPr>
          <w:rFonts w:hint="eastAsia" w:ascii="仿宋_GB2312" w:eastAsia="仿宋_GB2312"/>
          <w:color w:val="000000"/>
          <w:sz w:val="32"/>
          <w:szCs w:val="32"/>
        </w:rPr>
        <w:t>（项）</w:t>
      </w:r>
      <w:r>
        <w:rPr>
          <w:rFonts w:hint="eastAsia"/>
          <w:color w:val="000000"/>
          <w:sz w:val="32"/>
          <w:szCs w:val="32"/>
          <w:lang w:val="en-US" w:eastAsia="zh-CN"/>
        </w:rPr>
        <w:t>11.00万元，主要用于单位退休人员养老方面的支出。</w:t>
      </w:r>
    </w:p>
    <w:p>
      <w:pPr>
        <w:pStyle w:val="2"/>
        <w:ind w:firstLine="640" w:firstLineChars="200"/>
        <w:rPr>
          <w:rFonts w:hint="default" w:ascii="仿宋_GB2312" w:eastAsia="仿宋_GB2312"/>
          <w:color w:val="000000"/>
          <w:sz w:val="32"/>
          <w:szCs w:val="32"/>
          <w:lang w:val="en-US" w:eastAsia="zh-CN"/>
        </w:rPr>
      </w:pPr>
      <w:r>
        <w:rPr>
          <w:rFonts w:hint="eastAsia"/>
          <w:color w:val="000000"/>
          <w:sz w:val="32"/>
          <w:szCs w:val="32"/>
          <w:lang w:eastAsia="zh-CN"/>
        </w:rPr>
        <w:t>（</w:t>
      </w:r>
      <w:r>
        <w:rPr>
          <w:rFonts w:hint="eastAsia"/>
          <w:color w:val="000000"/>
          <w:sz w:val="32"/>
          <w:szCs w:val="32"/>
          <w:lang w:val="en-US" w:eastAsia="zh-CN"/>
        </w:rPr>
        <w:t>7</w:t>
      </w:r>
      <w:r>
        <w:rPr>
          <w:rFonts w:hint="eastAsia"/>
          <w:color w:val="000000"/>
          <w:sz w:val="32"/>
          <w:szCs w:val="32"/>
          <w:lang w:eastAsia="zh-CN"/>
        </w:rPr>
        <w:t>）</w:t>
      </w:r>
      <w:r>
        <w:rPr>
          <w:rFonts w:hint="eastAsia"/>
          <w:color w:val="000000"/>
          <w:sz w:val="32"/>
          <w:szCs w:val="32"/>
          <w:lang w:val="en-US" w:eastAsia="zh-CN"/>
        </w:rPr>
        <w:t>卫生健康支出</w:t>
      </w:r>
      <w:r>
        <w:rPr>
          <w:rFonts w:hint="eastAsia" w:ascii="仿宋_GB2312" w:eastAsia="仿宋_GB2312"/>
          <w:color w:val="000000"/>
          <w:sz w:val="32"/>
          <w:szCs w:val="32"/>
        </w:rPr>
        <w:t>（类）行政事业单位</w:t>
      </w:r>
      <w:r>
        <w:rPr>
          <w:rFonts w:hint="eastAsia"/>
          <w:color w:val="000000"/>
          <w:sz w:val="32"/>
          <w:szCs w:val="32"/>
          <w:lang w:val="en-US" w:eastAsia="zh-CN"/>
        </w:rPr>
        <w:t>医疗</w:t>
      </w:r>
      <w:r>
        <w:rPr>
          <w:rFonts w:hint="eastAsia" w:ascii="仿宋_GB2312" w:eastAsia="仿宋_GB2312"/>
          <w:color w:val="000000"/>
          <w:sz w:val="32"/>
          <w:szCs w:val="32"/>
        </w:rPr>
        <w:t>（款）其他行政事业单位</w:t>
      </w:r>
      <w:r>
        <w:rPr>
          <w:rFonts w:hint="eastAsia"/>
          <w:color w:val="000000"/>
          <w:sz w:val="32"/>
          <w:szCs w:val="32"/>
          <w:lang w:val="en-US" w:eastAsia="zh-CN"/>
        </w:rPr>
        <w:t>医疗</w:t>
      </w:r>
      <w:r>
        <w:rPr>
          <w:rFonts w:ascii="仿宋_GB2312" w:eastAsia="仿宋_GB2312"/>
          <w:color w:val="000000"/>
          <w:sz w:val="32"/>
          <w:szCs w:val="32"/>
        </w:rPr>
        <w:t>支出</w:t>
      </w:r>
      <w:r>
        <w:rPr>
          <w:rFonts w:hint="eastAsia" w:ascii="仿宋_GB2312" w:eastAsia="仿宋_GB2312"/>
          <w:color w:val="000000"/>
          <w:sz w:val="32"/>
          <w:szCs w:val="32"/>
        </w:rPr>
        <w:t>（项）</w:t>
      </w:r>
      <w:r>
        <w:rPr>
          <w:rFonts w:hint="eastAsia"/>
          <w:color w:val="000000"/>
          <w:sz w:val="32"/>
          <w:szCs w:val="32"/>
          <w:lang w:val="en-US" w:eastAsia="zh-CN"/>
        </w:rPr>
        <w:t>8.77万元，主要用于单位缴纳的公务员医疗补助缴费支出。</w:t>
      </w:r>
    </w:p>
    <w:p>
      <w:pPr>
        <w:pStyle w:val="2"/>
        <w:ind w:firstLine="640" w:firstLineChars="200"/>
        <w:rPr>
          <w:rFonts w:hint="default" w:ascii="仿宋_GB2312" w:eastAsia="仿宋_GB2312"/>
          <w:color w:val="000000"/>
          <w:sz w:val="32"/>
          <w:szCs w:val="32"/>
          <w:lang w:val="en-US" w:eastAsia="zh-CN"/>
        </w:rPr>
      </w:pPr>
      <w:r>
        <w:rPr>
          <w:rFonts w:hint="eastAsia" w:ascii="仿宋_GB2312" w:hAnsi="Times New Roman" w:eastAsia="仿宋_GB2312" w:cs="Times New Roman"/>
          <w:color w:val="000000"/>
          <w:sz w:val="32"/>
          <w:szCs w:val="32"/>
          <w:lang w:eastAsia="zh-CN"/>
        </w:rPr>
        <w:t>（</w:t>
      </w:r>
      <w:r>
        <w:rPr>
          <w:rFonts w:hint="eastAsia" w:ascii="仿宋_GB2312" w:hAnsi="Times New Roman" w:eastAsia="仿宋_GB2312" w:cs="Times New Roman"/>
          <w:color w:val="000000"/>
          <w:sz w:val="32"/>
          <w:szCs w:val="32"/>
          <w:lang w:val="en-US" w:eastAsia="zh-CN"/>
        </w:rPr>
        <w:t>8</w:t>
      </w:r>
      <w:r>
        <w:rPr>
          <w:rFonts w:hint="eastAsia" w:ascii="仿宋_GB2312" w:hAnsi="Times New Roman" w:eastAsia="仿宋_GB2312" w:cs="Times New Roman"/>
          <w:color w:val="000000"/>
          <w:sz w:val="32"/>
          <w:szCs w:val="32"/>
          <w:lang w:eastAsia="zh-CN"/>
        </w:rPr>
        <w:t>）</w:t>
      </w:r>
      <w:r>
        <w:rPr>
          <w:rFonts w:ascii="仿宋_GB2312" w:eastAsia="仿宋_GB2312"/>
          <w:color w:val="000000"/>
          <w:sz w:val="32"/>
          <w:szCs w:val="32"/>
        </w:rPr>
        <w:t>住房保障支出（类）住房改革支出（款）住房公积金（项）</w:t>
      </w:r>
      <w:r>
        <w:rPr>
          <w:rFonts w:hint="eastAsia"/>
          <w:color w:val="000000"/>
          <w:sz w:val="32"/>
          <w:szCs w:val="32"/>
          <w:lang w:val="en-US" w:eastAsia="zh-CN"/>
        </w:rPr>
        <w:t>53.22万元，主要用于</w:t>
      </w:r>
      <w:r>
        <w:rPr>
          <w:rFonts w:ascii="仿宋_GB2312" w:eastAsia="仿宋_GB2312"/>
          <w:color w:val="000000"/>
          <w:sz w:val="32"/>
          <w:szCs w:val="32"/>
        </w:rPr>
        <w:t>单位按照有关部门规定比例为职工缴纳的住房公积金。</w:t>
      </w:r>
    </w:p>
    <w:p>
      <w:pPr>
        <w:spacing w:line="520" w:lineRule="exact"/>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 xml:space="preserve">    （六）关于衢州市科学技术协会2024年一般公共预算基本支出情况说明</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衢州市科学技术协会2024年一般公共预算基本支出554.93万元，其中：</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人员经费504.99万元，主要包括：基本工资、津贴补贴、奖金、绩效工资、机关事业单位基本养老保险缴费、职业年金缴费、职工基本医疗保险缴费、公务员医疗补助缴费、其他社会保障缴费、住房公积金、医疗费、其他工资福利支出、其他交通费用</w:t>
      </w:r>
      <w:r>
        <w:rPr>
          <w:rFonts w:hint="eastAsia" w:ascii="仿宋_GB2312" w:eastAsia="仿宋_GB2312"/>
          <w:color w:val="000000"/>
          <w:sz w:val="32"/>
          <w:szCs w:val="32"/>
          <w:lang w:eastAsia="zh-CN"/>
        </w:rPr>
        <w:t>、</w:t>
      </w:r>
      <w:r>
        <w:rPr>
          <w:rFonts w:hint="eastAsia" w:ascii="仿宋_GB2312" w:eastAsia="仿宋_GB2312"/>
          <w:color w:val="000000"/>
          <w:sz w:val="32"/>
          <w:szCs w:val="32"/>
        </w:rPr>
        <w:t>其他商品和服务支出</w:t>
      </w:r>
      <w:r>
        <w:rPr>
          <w:rFonts w:hint="eastAsia" w:ascii="仿宋_GB2312" w:eastAsia="仿宋_GB2312"/>
          <w:color w:val="000000"/>
          <w:sz w:val="32"/>
          <w:szCs w:val="32"/>
          <w:lang w:eastAsia="zh-CN"/>
        </w:rPr>
        <w:t>、</w:t>
      </w:r>
      <w:r>
        <w:rPr>
          <w:rFonts w:hint="eastAsia" w:ascii="仿宋_GB2312" w:eastAsia="仿宋_GB2312"/>
          <w:color w:val="000000"/>
          <w:sz w:val="32"/>
          <w:szCs w:val="32"/>
        </w:rPr>
        <w:t>生活补助、医疗费补助、其他对个人和家庭的补助；</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公用经费49.94万元，主要包括：办公费、印刷费、邮电费、差旅费、会议费、培训费、公务接待费、劳务费、工会经费、福利费、公务用车运行维护费、其他交通费用、其他商品和服务支出、办公设备购置。</w:t>
      </w:r>
    </w:p>
    <w:p>
      <w:pPr>
        <w:spacing w:line="520" w:lineRule="exact"/>
        <w:ind w:firstLine="64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（七）关于衢州市科学技术协会2024年政府性基金预算支出情况说明</w:t>
      </w:r>
    </w:p>
    <w:p>
      <w:pPr>
        <w:ind w:firstLine="640" w:firstLineChars="200"/>
      </w:pPr>
      <w:r>
        <w:rPr>
          <w:rFonts w:hint="eastAsia" w:ascii="仿宋_GB2312" w:hAnsi="仿宋_GB2312" w:eastAsia="仿宋_GB2312" w:cs="仿宋_GB2312"/>
          <w:color w:val="000000"/>
          <w:sz w:val="32"/>
          <w:szCs w:val="32"/>
          <w:lang w:val="en-US" w:eastAsia="zh-CN"/>
        </w:rPr>
        <w:t>衢州市科学技术协会</w:t>
      </w:r>
      <w:r>
        <w:rPr>
          <w:rFonts w:hint="eastAsia" w:ascii="仿宋_GB2312" w:hAnsi="仿宋_GB2312" w:eastAsia="仿宋_GB2312" w:cs="仿宋_GB2312"/>
          <w:color w:val="000000"/>
          <w:sz w:val="32"/>
          <w:szCs w:val="32"/>
        </w:rPr>
        <w:t>2024年没有使用政府性基金预算拨款安排的支出</w:t>
      </w:r>
      <w:r>
        <w:rPr>
          <w:rFonts w:hint="eastAsia" w:ascii="仿宋_GB2312" w:eastAsia="仿宋_GB2312"/>
          <w:color w:val="000000"/>
          <w:sz w:val="32"/>
          <w:szCs w:val="32"/>
        </w:rPr>
        <w:t>，与上年持平</w:t>
      </w:r>
      <w:r>
        <w:rPr>
          <w:rFonts w:hint="eastAsia" w:ascii="仿宋_GB2312" w:hAnsi="仿宋_GB2312" w:eastAsia="仿宋_GB2312" w:cs="仿宋_GB2312"/>
          <w:color w:val="000000"/>
          <w:sz w:val="32"/>
          <w:szCs w:val="32"/>
        </w:rPr>
        <w:t>。</w:t>
      </w:r>
    </w:p>
    <w:p>
      <w:pPr>
        <w:spacing w:line="520" w:lineRule="exact"/>
        <w:ind w:firstLine="627" w:firstLineChars="196"/>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sz w:val="32"/>
          <w:szCs w:val="32"/>
          <w:highlight w:val="none"/>
        </w:rPr>
        <w:t>（八）关于</w:t>
      </w:r>
      <w:r>
        <w:rPr>
          <w:rFonts w:ascii="楷体_GB2312" w:hAnsi="楷体_GB2312" w:eastAsia="楷体_GB2312" w:cs="楷体_GB2312"/>
          <w:bCs/>
          <w:color w:val="000000"/>
          <w:sz w:val="32"/>
          <w:szCs w:val="32"/>
          <w:highlight w:val="none"/>
        </w:rPr>
        <w:t>衢州市科学技术协会2024</w:t>
      </w:r>
      <w:r>
        <w:rPr>
          <w:rFonts w:hint="eastAsia" w:ascii="楷体_GB2312" w:hAnsi="楷体_GB2312" w:eastAsia="楷体_GB2312" w:cs="楷体_GB2312"/>
          <w:bCs/>
          <w:color w:val="000000"/>
          <w:sz w:val="32"/>
          <w:szCs w:val="32"/>
          <w:highlight w:val="none"/>
        </w:rPr>
        <w:t>年国有资本经营预算支出情况说明</w:t>
      </w:r>
    </w:p>
    <w:p>
      <w:pPr>
        <w:ind w:firstLine="640" w:firstLineChars="200"/>
        <w:rPr>
          <w:highlight w:val="none"/>
        </w:rPr>
      </w:pPr>
      <w:r>
        <w:rPr>
          <w:rFonts w:hint="eastAsia" w:ascii="仿宋_GB2312" w:hAnsi="仿宋_GB2312" w:eastAsia="仿宋_GB2312" w:cs="仿宋_GB2312"/>
          <w:color w:val="000000"/>
          <w:sz w:val="32"/>
          <w:szCs w:val="32"/>
          <w:highlight w:val="none"/>
          <w:lang w:val="en-US" w:eastAsia="zh-CN"/>
        </w:rPr>
        <w:t>衢州市科学技术协会</w:t>
      </w:r>
      <w:r>
        <w:rPr>
          <w:rFonts w:hint="eastAsia" w:ascii="仿宋_GB2312" w:hAnsi="仿宋_GB2312" w:eastAsia="仿宋_GB2312" w:cs="仿宋_GB2312"/>
          <w:color w:val="000000"/>
          <w:sz w:val="32"/>
          <w:szCs w:val="32"/>
          <w:highlight w:val="none"/>
        </w:rPr>
        <w:t>2024年没有使用国有资本经营预算拨款安排的支出，与上年持平。</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（九）关于衢州市科学技术协会2024年</w:t>
      </w:r>
      <w:r>
        <w:rPr>
          <w:rFonts w:hint="eastAsia" w:ascii="楷体_GB2312" w:hAnsi="楷体_GB2312" w:eastAsia="楷体_GB2312" w:cs="楷体_GB2312"/>
          <w:bCs/>
          <w:sz w:val="32"/>
          <w:szCs w:val="32"/>
        </w:rPr>
        <w:t>一般公共预算</w:t>
      </w:r>
      <w:r>
        <w:rPr>
          <w:rFonts w:hint="eastAsia" w:ascii="楷体_GB2312" w:hAnsi="楷体_GB2312" w:eastAsia="楷体_GB2312" w:cs="楷体_GB2312"/>
          <w:bCs/>
          <w:color w:val="000000"/>
          <w:sz w:val="32"/>
          <w:szCs w:val="32"/>
        </w:rPr>
        <w:t>“三公”经费预算情况说明</w:t>
      </w:r>
    </w:p>
    <w:p>
      <w:pPr>
        <w:ind w:firstLine="640" w:firstLineChars="200"/>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衢州市科学技术协会2024年“三公”经费预算数为4.26万元，比上年预算数减少0.09万元，下降2.1%，具体如下：</w:t>
      </w:r>
    </w:p>
    <w:p>
      <w:pPr>
        <w:snapToGrid w:val="0"/>
        <w:spacing w:line="54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1.因公出国（境）费用：</w:t>
      </w:r>
      <w:r>
        <w:rPr>
          <w:rFonts w:hint="eastAsia" w:ascii="仿宋_GB2312" w:hAnsi="仿宋_GB2312" w:eastAsia="仿宋_GB2312" w:cs="仿宋_GB2312"/>
          <w:sz w:val="32"/>
          <w:szCs w:val="32"/>
        </w:rPr>
        <w:t>根据因公出国计划和实际工作需要，2024年安排因公出国（境）费用预算0.00万元，</w:t>
      </w:r>
      <w:r>
        <w:rPr>
          <w:rFonts w:hint="eastAsia" w:ascii="仿宋_GB2312" w:hAnsi="仿宋_GB2312" w:eastAsia="仿宋_GB2312" w:cs="仿宋_GB2312"/>
          <w:sz w:val="32"/>
          <w:szCs w:val="32"/>
          <w:lang w:val="en-US" w:eastAsia="zh-CN"/>
        </w:rPr>
        <w:t>与</w:t>
      </w:r>
      <w:r>
        <w:rPr>
          <w:rFonts w:hint="eastAsia" w:ascii="仿宋_GB2312" w:hAnsi="仿宋_GB2312" w:eastAsia="仿宋_GB2312" w:cs="仿宋_GB2312"/>
          <w:sz w:val="32"/>
          <w:szCs w:val="32"/>
        </w:rPr>
        <w:t>上年预算数</w:t>
      </w:r>
      <w:r>
        <w:rPr>
          <w:rFonts w:hint="eastAsia" w:ascii="仿宋_GB2312" w:hAnsi="仿宋_GB2312" w:eastAsia="仿宋_GB2312"/>
          <w:sz w:val="32"/>
          <w:shd w:val="clear" w:color="auto" w:fill="FFFFFF"/>
          <w:lang w:val="en-US" w:eastAsia="zh-CN"/>
        </w:rPr>
        <w:t>持平</w:t>
      </w:r>
      <w:r>
        <w:rPr>
          <w:rFonts w:hint="eastAsia" w:ascii="仿宋_GB2312" w:hAnsi="仿宋_GB2312" w:eastAsia="仿宋_GB2312" w:cs="仿宋_GB2312"/>
          <w:sz w:val="32"/>
          <w:szCs w:val="32"/>
        </w:rPr>
        <w:t>。主要用于机关及下属预算单位人员的公务出国（境）的国际旅费、国外城市间交通费、住宿费、伙食费、培训费、公杂费等支出。</w:t>
      </w:r>
      <w:r>
        <w:rPr>
          <w:rFonts w:hint="eastAsia" w:ascii="仿宋_GB2312" w:hAnsi="仿宋_GB2312" w:eastAsia="仿宋_GB2312" w:cs="仿宋_GB2312"/>
          <w:sz w:val="32"/>
          <w:szCs w:val="32"/>
          <w:lang w:val="en-US" w:eastAsia="zh-CN"/>
        </w:rPr>
        <w:t>持平</w:t>
      </w:r>
      <w:r>
        <w:rPr>
          <w:rFonts w:hint="eastAsia" w:ascii="仿宋_GB2312" w:hAnsi="仿宋_GB2312" w:eastAsia="仿宋_GB2312" w:cs="仿宋_GB2312"/>
          <w:sz w:val="32"/>
          <w:szCs w:val="32"/>
        </w:rPr>
        <w:t>的主要原因是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未安排</w:t>
      </w:r>
      <w:r>
        <w:rPr>
          <w:rFonts w:hint="eastAsia" w:ascii="仿宋_GB2312" w:hAnsi="仿宋_GB2312" w:eastAsia="仿宋_GB2312" w:cs="仿宋_GB2312"/>
          <w:sz w:val="32"/>
          <w:szCs w:val="32"/>
          <w:highlight w:val="none"/>
        </w:rPr>
        <w:t>因公出国（境）费</w:t>
      </w:r>
      <w:r>
        <w:rPr>
          <w:rFonts w:hint="eastAsia" w:ascii="仿宋_GB2312" w:hAnsi="仿宋_GB2312" w:eastAsia="仿宋_GB2312" w:cs="仿宋_GB2312"/>
          <w:sz w:val="32"/>
          <w:szCs w:val="32"/>
          <w:highlight w:val="none"/>
          <w:lang w:eastAsia="zh-CN"/>
        </w:rPr>
        <w:t>用预算</w:t>
      </w:r>
      <w:r>
        <w:rPr>
          <w:rFonts w:hint="eastAsia" w:ascii="仿宋_GB2312" w:hAnsi="仿宋_GB2312" w:eastAsia="仿宋_GB2312" w:cs="仿宋_GB2312"/>
          <w:color w:val="000000" w:themeColor="text1"/>
          <w:sz w:val="32"/>
          <w:szCs w:val="32"/>
          <w14:textFill>
            <w14:solidFill>
              <w14:schemeClr w14:val="tx1"/>
            </w14:solidFill>
          </w14:textFill>
        </w:rPr>
        <w:t>。</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2.公务接待费：2024年安排公务接待费预算1.8</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万元，比上年预算数</w:t>
      </w:r>
      <w:r>
        <w:rPr>
          <w:rFonts w:hint="eastAsia" w:ascii="仿宋_GB2312" w:hAnsi="仿宋_GB2312" w:eastAsia="仿宋_GB2312"/>
          <w:sz w:val="32"/>
          <w:shd w:val="clear" w:color="auto" w:fill="FFFFFF"/>
        </w:rPr>
        <w:t>减少</w:t>
      </w:r>
      <w:r>
        <w:rPr>
          <w:rFonts w:hint="eastAsia" w:ascii="仿宋_GB2312" w:hAnsi="仿宋_GB2312" w:eastAsia="仿宋_GB2312"/>
          <w:sz w:val="32"/>
          <w:shd w:val="clear" w:color="auto" w:fill="FFFFFF"/>
          <w:lang w:val="en-US" w:eastAsia="zh-CN"/>
        </w:rPr>
        <w:t>0.09</w:t>
      </w:r>
      <w:r>
        <w:rPr>
          <w:rFonts w:hint="eastAsia" w:ascii="仿宋_GB2312" w:hAnsi="仿宋_GB2312" w:eastAsia="仿宋_GB2312"/>
          <w:sz w:val="32"/>
          <w:shd w:val="clear" w:color="auto" w:fill="FFFFFF"/>
        </w:rPr>
        <w:t>万元，</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en-US" w:eastAsia="zh-CN"/>
        </w:rPr>
        <w:t>4.7</w:t>
      </w:r>
      <w:r>
        <w:rPr>
          <w:rFonts w:hint="eastAsia" w:ascii="仿宋_GB2312" w:hAnsi="仿宋_GB2312" w:eastAsia="仿宋_GB2312" w:cs="仿宋_GB2312"/>
          <w:sz w:val="32"/>
          <w:szCs w:val="32"/>
        </w:rPr>
        <w:t>%。主要用于</w:t>
      </w:r>
      <w:r>
        <w:rPr>
          <w:rFonts w:hint="eastAsia" w:ascii="仿宋_GB2312" w:hAnsi="仿宋_GB2312" w:eastAsia="仿宋_GB2312" w:cs="仿宋_GB2312"/>
          <w:sz w:val="32"/>
          <w:szCs w:val="32"/>
          <w:highlight w:val="none"/>
        </w:rPr>
        <w:t>接待</w:t>
      </w:r>
      <w:r>
        <w:rPr>
          <w:rFonts w:hint="eastAsia" w:ascii="仿宋_GB2312" w:hAnsi="仿宋_GB2312" w:eastAsia="仿宋_GB2312" w:cs="仿宋_GB2312"/>
          <w:sz w:val="32"/>
          <w:szCs w:val="32"/>
        </w:rPr>
        <w:t>上级有关部门及相关单位调研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兄弟省市领导来衢、院士站建站企业来访、招商引资</w:t>
      </w:r>
      <w:r>
        <w:rPr>
          <w:rFonts w:ascii="仿宋_GB2312" w:hAnsi="仿宋_GB2312" w:eastAsia="仿宋_GB2312" w:cs="仿宋_GB2312"/>
          <w:sz w:val="32"/>
          <w:szCs w:val="32"/>
        </w:rPr>
        <w:t>等</w:t>
      </w:r>
      <w:r>
        <w:rPr>
          <w:rFonts w:hint="eastAsia" w:ascii="仿宋_GB2312" w:hAnsi="仿宋_GB2312" w:eastAsia="仿宋_GB2312" w:cs="仿宋_GB2312"/>
          <w:sz w:val="32"/>
          <w:szCs w:val="32"/>
        </w:rPr>
        <w:t>公务活动</w:t>
      </w:r>
      <w:r>
        <w:rPr>
          <w:rFonts w:ascii="仿宋_GB2312" w:hAnsi="仿宋_GB2312" w:eastAsia="仿宋_GB2312" w:cs="仿宋_GB2312"/>
          <w:sz w:val="32"/>
          <w:szCs w:val="32"/>
        </w:rPr>
        <w:t>支出</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rPr>
        <w:t>减少的主要原因是</w:t>
      </w:r>
      <w:r>
        <w:rPr>
          <w:rFonts w:hint="eastAsia" w:ascii="仿宋" w:eastAsia="仿宋"/>
          <w:color w:val="000000"/>
          <w:sz w:val="32"/>
          <w:highlight w:val="white"/>
        </w:rPr>
        <w:t>严格贯彻落实中央八项规定要求，厉行节约，严控开支</w:t>
      </w:r>
      <w:r>
        <w:rPr>
          <w:rFonts w:hint="eastAsia" w:ascii="仿宋_GB2312" w:hAnsi="仿宋_GB2312" w:eastAsia="仿宋_GB2312" w:cs="仿宋_GB2312"/>
          <w:b w:val="0"/>
          <w:bCs w:val="0"/>
          <w:sz w:val="32"/>
          <w:szCs w:val="32"/>
          <w:highlight w:val="none"/>
          <w:lang w:eastAsia="zh-CN"/>
        </w:rPr>
        <w:t>。</w:t>
      </w:r>
    </w:p>
    <w:p>
      <w:pPr>
        <w:pStyle w:val="14"/>
        <w:spacing w:line="520" w:lineRule="exact"/>
        <w:ind w:firstLine="640" w:firstLineChars="200"/>
        <w:rPr>
          <w:rFonts w:ascii="仿宋_GB2312" w:eastAsia="仿宋_GB2312"/>
          <w:b/>
          <w:bCs/>
          <w:sz w:val="32"/>
          <w:szCs w:val="32"/>
          <w:highlight w:val="none"/>
        </w:rPr>
      </w:pPr>
      <w:r>
        <w:rPr>
          <w:rFonts w:hint="eastAsia" w:ascii="仿宋_GB2312" w:eastAsia="仿宋_GB2312"/>
          <w:sz w:val="32"/>
          <w:szCs w:val="32"/>
        </w:rPr>
        <w:t>3.公务用车购置及运行维护费：2024年安排公务用车购置及运行维护费预算2.45万元，</w:t>
      </w:r>
      <w:r>
        <w:rPr>
          <w:rFonts w:hint="eastAsia" w:ascii="仿宋_GB2312" w:eastAsia="仿宋_GB2312"/>
          <w:sz w:val="32"/>
          <w:szCs w:val="32"/>
          <w:lang w:val="en-US" w:eastAsia="zh-CN"/>
        </w:rPr>
        <w:t>与</w:t>
      </w:r>
      <w:r>
        <w:rPr>
          <w:rFonts w:hint="eastAsia" w:ascii="仿宋_GB2312" w:eastAsia="仿宋_GB2312"/>
          <w:sz w:val="32"/>
          <w:szCs w:val="32"/>
        </w:rPr>
        <w:t>上年预算数</w:t>
      </w:r>
      <w:r>
        <w:rPr>
          <w:rFonts w:hint="eastAsia" w:ascii="仿宋_GB2312" w:eastAsia="仿宋_GB2312"/>
          <w:sz w:val="32"/>
          <w:szCs w:val="32"/>
          <w:lang w:val="en-US" w:eastAsia="zh-CN"/>
        </w:rPr>
        <w:t>持平</w:t>
      </w:r>
      <w:r>
        <w:rPr>
          <w:rFonts w:hint="eastAsia" w:ascii="仿宋_GB2312" w:eastAsia="仿宋_GB2312"/>
          <w:sz w:val="32"/>
          <w:szCs w:val="32"/>
        </w:rPr>
        <w:t>。</w:t>
      </w:r>
      <w:r>
        <w:rPr>
          <w:rFonts w:hint="eastAsia" w:ascii="仿宋_GB2312" w:eastAsia="仿宋_GB2312"/>
          <w:sz w:val="32"/>
          <w:szCs w:val="32"/>
          <w:highlight w:val="none"/>
        </w:rPr>
        <w:t>其中，公务用车购置支出0.00万元（含购置税等附加费用），主要用于经批准购置的</w:t>
      </w:r>
      <w:r>
        <w:rPr>
          <w:rFonts w:hint="eastAsia" w:ascii="仿宋_GB2312" w:eastAsia="仿宋_GB2312"/>
          <w:color w:val="000000"/>
          <w:sz w:val="32"/>
          <w:szCs w:val="32"/>
          <w:highlight w:val="none"/>
          <w:lang w:val="en-US" w:eastAsia="zh-CN"/>
        </w:rPr>
        <w:t>0</w:t>
      </w:r>
      <w:r>
        <w:rPr>
          <w:rFonts w:hint="eastAsia" w:ascii="仿宋_GB2312" w:eastAsia="仿宋_GB2312"/>
          <w:sz w:val="32"/>
          <w:szCs w:val="32"/>
          <w:highlight w:val="none"/>
        </w:rPr>
        <w:t>辆公务用车，</w:t>
      </w:r>
      <w:r>
        <w:rPr>
          <w:rFonts w:hint="eastAsia" w:ascii="仿宋_GB2312" w:eastAsia="仿宋_GB2312"/>
          <w:sz w:val="32"/>
          <w:szCs w:val="32"/>
          <w:highlight w:val="none"/>
          <w:lang w:val="en-US" w:eastAsia="zh-CN"/>
        </w:rPr>
        <w:t>与</w:t>
      </w:r>
      <w:r>
        <w:rPr>
          <w:rFonts w:hint="eastAsia" w:ascii="仿宋_GB2312" w:eastAsia="仿宋_GB2312"/>
          <w:sz w:val="32"/>
          <w:szCs w:val="32"/>
          <w:highlight w:val="none"/>
        </w:rPr>
        <w:t>上年预算数</w:t>
      </w:r>
      <w:r>
        <w:rPr>
          <w:rFonts w:hint="eastAsia" w:ascii="仿宋_GB2312" w:eastAsia="仿宋_GB2312"/>
          <w:sz w:val="32"/>
          <w:szCs w:val="32"/>
          <w:highlight w:val="none"/>
          <w:lang w:val="en-US" w:eastAsia="zh-CN"/>
        </w:rPr>
        <w:t>持平，</w:t>
      </w:r>
      <w:r>
        <w:rPr>
          <w:rFonts w:hint="eastAsia" w:ascii="仿宋_GB2312" w:eastAsia="仿宋_GB2312"/>
          <w:sz w:val="32"/>
          <w:szCs w:val="32"/>
          <w:highlight w:val="none"/>
        </w:rPr>
        <w:t>主要原因</w:t>
      </w:r>
      <w:r>
        <w:rPr>
          <w:rFonts w:hint="eastAsia" w:ascii="仿宋_GB2312" w:eastAsia="仿宋_GB2312"/>
          <w:sz w:val="32"/>
          <w:szCs w:val="32"/>
          <w:highlight w:val="none"/>
          <w:lang w:val="en-US" w:eastAsia="zh-CN"/>
        </w:rPr>
        <w:t>是</w:t>
      </w:r>
      <w:r>
        <w:rPr>
          <w:rFonts w:hint="eastAsia" w:ascii="仿宋_GB2312" w:eastAsia="仿宋_GB2312"/>
          <w:b w:val="0"/>
          <w:bCs w:val="0"/>
          <w:sz w:val="32"/>
          <w:szCs w:val="32"/>
          <w:highlight w:val="none"/>
          <w:lang w:val="en-US" w:eastAsia="zh-CN"/>
        </w:rPr>
        <w:t>未安排公务用车购置预算</w:t>
      </w:r>
      <w:r>
        <w:rPr>
          <w:rFonts w:hint="eastAsia" w:ascii="仿宋_GB2312" w:eastAsia="仿宋_GB2312"/>
          <w:sz w:val="32"/>
          <w:szCs w:val="32"/>
          <w:highlight w:val="none"/>
        </w:rPr>
        <w:t>；公务用车运行维护费支出2.45万元，主要用于公务用车燃料费、维修费、过桥过路费、保险费、安全奖励费用等支出。</w:t>
      </w:r>
      <w:r>
        <w:rPr>
          <w:rFonts w:hint="eastAsia" w:ascii="仿宋_GB2312" w:eastAsia="仿宋_GB2312"/>
          <w:sz w:val="32"/>
          <w:szCs w:val="32"/>
          <w:highlight w:val="none"/>
          <w:lang w:val="en-US" w:eastAsia="zh-CN"/>
        </w:rPr>
        <w:t>与</w:t>
      </w:r>
      <w:r>
        <w:rPr>
          <w:rFonts w:hint="eastAsia" w:ascii="仿宋_GB2312" w:eastAsia="仿宋_GB2312"/>
          <w:sz w:val="32"/>
          <w:szCs w:val="32"/>
          <w:highlight w:val="none"/>
        </w:rPr>
        <w:t>上年预算数</w:t>
      </w:r>
      <w:r>
        <w:rPr>
          <w:rFonts w:hint="eastAsia" w:ascii="仿宋_GB2312" w:eastAsia="仿宋_GB2312"/>
          <w:sz w:val="32"/>
          <w:szCs w:val="32"/>
          <w:highlight w:val="none"/>
          <w:lang w:val="en-US" w:eastAsia="zh-CN"/>
        </w:rPr>
        <w:t>持平</w:t>
      </w:r>
      <w:r>
        <w:rPr>
          <w:rFonts w:hint="eastAsia" w:ascii="仿宋_GB2312" w:eastAsia="仿宋_GB2312"/>
          <w:sz w:val="32"/>
          <w:szCs w:val="32"/>
          <w:highlight w:val="none"/>
        </w:rPr>
        <w:t>，主要原因是</w:t>
      </w:r>
      <w:r>
        <w:rPr>
          <w:rFonts w:hint="eastAsia" w:ascii="仿宋_GB2312" w:eastAsia="仿宋_GB2312"/>
          <w:sz w:val="32"/>
          <w:szCs w:val="32"/>
          <w:highlight w:val="none"/>
          <w:lang w:val="en-US" w:eastAsia="zh-CN"/>
        </w:rPr>
        <w:t>依据上年执行数测算，在严控“三公”经费的情况下，此预算数能保障本单位</w:t>
      </w:r>
      <w:r>
        <w:rPr>
          <w:rFonts w:hint="eastAsia" w:ascii="仿宋_GB2312" w:eastAsia="仿宋_GB2312"/>
          <w:sz w:val="32"/>
          <w:szCs w:val="32"/>
          <w:highlight w:val="none"/>
        </w:rPr>
        <w:t>公务用车</w:t>
      </w:r>
      <w:r>
        <w:rPr>
          <w:rFonts w:hint="eastAsia" w:ascii="仿宋_GB2312" w:eastAsia="仿宋_GB2312"/>
          <w:sz w:val="32"/>
          <w:szCs w:val="32"/>
          <w:highlight w:val="none"/>
          <w:lang w:val="en-US" w:eastAsia="zh-CN"/>
        </w:rPr>
        <w:t>的正常</w:t>
      </w:r>
      <w:r>
        <w:rPr>
          <w:rFonts w:hint="eastAsia" w:ascii="仿宋_GB2312" w:eastAsia="仿宋_GB2312"/>
          <w:sz w:val="32"/>
          <w:szCs w:val="32"/>
          <w:highlight w:val="none"/>
        </w:rPr>
        <w:t>运行</w:t>
      </w:r>
      <w:r>
        <w:rPr>
          <w:rFonts w:hint="eastAsia" w:ascii="仿宋_GB2312" w:eastAsia="仿宋_GB2312"/>
          <w:sz w:val="32"/>
          <w:szCs w:val="32"/>
          <w:highlight w:val="none"/>
          <w:lang w:val="en-US" w:eastAsia="zh-CN"/>
        </w:rPr>
        <w:t>和</w:t>
      </w:r>
      <w:r>
        <w:rPr>
          <w:rFonts w:hint="eastAsia" w:ascii="仿宋_GB2312" w:eastAsia="仿宋_GB2312"/>
          <w:sz w:val="32"/>
          <w:szCs w:val="32"/>
          <w:highlight w:val="none"/>
        </w:rPr>
        <w:t>维护。</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1.机关运行经费。</w:t>
      </w:r>
    </w:p>
    <w:p>
      <w:pPr>
        <w:pStyle w:val="14"/>
        <w:spacing w:line="520" w:lineRule="exact"/>
        <w:ind w:firstLine="640" w:firstLineChars="200"/>
        <w:rPr>
          <w:rFonts w:ascii="仿宋_GB2312" w:eastAsia="仿宋_GB2312"/>
          <w:sz w:val="32"/>
          <w:szCs w:val="32"/>
        </w:rPr>
      </w:pPr>
      <w:r>
        <w:rPr>
          <w:rFonts w:hint="eastAsia" w:ascii="仿宋_GB2312" w:eastAsia="仿宋_GB2312"/>
          <w:sz w:val="32"/>
          <w:szCs w:val="32"/>
        </w:rPr>
        <w:t>2024年衢州市科学技术协会</w:t>
      </w:r>
      <w:r>
        <w:rPr>
          <w:rFonts w:hint="eastAsia" w:ascii="仿宋_GB2312" w:eastAsia="仿宋_GB2312"/>
          <w:color w:val="000000"/>
          <w:sz w:val="32"/>
          <w:szCs w:val="32"/>
        </w:rPr>
        <w:t>本级</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家行政单位的机关运行经费财政拨款预算49.94万元，比上年预算增加</w:t>
      </w:r>
      <w:r>
        <w:rPr>
          <w:rFonts w:hint="eastAsia" w:ascii="仿宋_GB2312" w:eastAsia="仿宋_GB2312"/>
          <w:color w:val="000000"/>
          <w:sz w:val="32"/>
          <w:szCs w:val="32"/>
          <w:lang w:val="en-US" w:eastAsia="zh-CN"/>
        </w:rPr>
        <w:t>3.07</w:t>
      </w:r>
      <w:r>
        <w:rPr>
          <w:rFonts w:hint="eastAsia" w:ascii="仿宋_GB2312" w:eastAsia="仿宋_GB2312"/>
          <w:sz w:val="32"/>
          <w:szCs w:val="32"/>
        </w:rPr>
        <w:t>万元</w:t>
      </w:r>
      <w:r>
        <w:rPr>
          <w:rFonts w:hint="eastAsia" w:ascii="仿宋_GB2312" w:hAnsi="仿宋_GB2312" w:eastAsia="仿宋_GB2312"/>
          <w:kern w:val="2"/>
          <w:sz w:val="32"/>
          <w:szCs w:val="20"/>
        </w:rPr>
        <w:t>，增长</w:t>
      </w:r>
      <w:r>
        <w:rPr>
          <w:rFonts w:hint="eastAsia" w:ascii="仿宋_GB2312" w:hAnsi="仿宋_GB2312" w:eastAsia="仿宋_GB2312"/>
          <w:kern w:val="2"/>
          <w:sz w:val="32"/>
          <w:szCs w:val="20"/>
          <w:lang w:val="en-US" w:eastAsia="zh-CN"/>
        </w:rPr>
        <w:t>6.6</w:t>
      </w:r>
      <w:r>
        <w:rPr>
          <w:rFonts w:hint="eastAsia" w:ascii="仿宋_GB2312" w:hAnsi="仿宋_GB2312" w:eastAsia="仿宋_GB2312"/>
          <w:kern w:val="2"/>
          <w:sz w:val="32"/>
          <w:szCs w:val="20"/>
        </w:rPr>
        <w:t>%，主要是</w:t>
      </w:r>
      <w:r>
        <w:rPr>
          <w:rFonts w:hint="eastAsia" w:ascii="仿宋_GB2312" w:hAnsi="仿宋_GB2312" w:eastAsia="仿宋_GB2312"/>
          <w:kern w:val="2"/>
          <w:sz w:val="32"/>
          <w:szCs w:val="20"/>
          <w:lang w:val="en-US" w:eastAsia="zh-CN"/>
        </w:rPr>
        <w:t>机关运行经费中的“日常公用经费（福利费）”与上年比计算基数调整，将住房公积金纳入基数；以及“工会经费“、“培训费”从上年的人员类“在职人员支出”中调整至运转类（公用经费）中</w:t>
      </w:r>
      <w:r>
        <w:rPr>
          <w:rFonts w:hint="eastAsia" w:ascii="仿宋_GB2312" w:eastAsia="仿宋_GB2312"/>
          <w:color w:val="000000"/>
          <w:sz w:val="32"/>
          <w:szCs w:val="32"/>
        </w:rPr>
        <w:t>。</w:t>
      </w:r>
    </w:p>
    <w:p>
      <w:pPr>
        <w:pStyle w:val="14"/>
        <w:numPr>
          <w:ilvl w:val="0"/>
          <w:numId w:val="2"/>
        </w:numPr>
        <w:spacing w:line="520" w:lineRule="exact"/>
        <w:ind w:firstLine="600"/>
        <w:rPr>
          <w:rFonts w:ascii="仿宋_GB2312" w:eastAsia="仿宋_GB2312"/>
          <w:b/>
          <w:bCs/>
          <w:sz w:val="32"/>
          <w:szCs w:val="32"/>
        </w:rPr>
      </w:pPr>
      <w:r>
        <w:rPr>
          <w:rFonts w:hint="eastAsia" w:ascii="仿宋_GB2312" w:eastAsia="仿宋_GB2312"/>
          <w:b/>
          <w:bCs/>
          <w:sz w:val="32"/>
          <w:szCs w:val="32"/>
        </w:rPr>
        <w:t>政府采购情况。</w:t>
      </w:r>
    </w:p>
    <w:p>
      <w:pPr>
        <w:pStyle w:val="14"/>
        <w:spacing w:line="520" w:lineRule="exact"/>
        <w:ind w:firstLine="640" w:firstLineChars="200"/>
        <w:rPr>
          <w:rFonts w:ascii="仿宋_GB2312" w:eastAsia="仿宋_GB2312"/>
          <w:sz w:val="32"/>
          <w:szCs w:val="32"/>
        </w:rPr>
      </w:pPr>
      <w:r>
        <w:rPr>
          <w:rFonts w:hint="eastAsia" w:ascii="仿宋_GB2312" w:eastAsia="仿宋_GB2312"/>
          <w:sz w:val="32"/>
          <w:szCs w:val="32"/>
        </w:rPr>
        <w:t>2024年衢州市科学技术协会</w:t>
      </w:r>
      <w:r>
        <w:rPr>
          <w:rFonts w:hint="eastAsia" w:ascii="仿宋_GB2312" w:eastAsia="仿宋_GB2312"/>
          <w:color w:val="000000"/>
          <w:sz w:val="32"/>
          <w:szCs w:val="32"/>
        </w:rPr>
        <w:t>各单位政府采购预算总额</w:t>
      </w:r>
      <w:r>
        <w:rPr>
          <w:rFonts w:ascii="仿宋_GB2312" w:eastAsia="仿宋_GB2312"/>
          <w:color w:val="000000"/>
          <w:sz w:val="32"/>
          <w:szCs w:val="32"/>
        </w:rPr>
        <w:t>12.01</w:t>
      </w:r>
      <w:r>
        <w:rPr>
          <w:rFonts w:hint="eastAsia" w:ascii="仿宋_GB2312" w:eastAsia="仿宋_GB2312"/>
          <w:color w:val="000000"/>
          <w:sz w:val="32"/>
          <w:szCs w:val="32"/>
        </w:rPr>
        <w:t>万元，其中：政府采购货物预算0.72万元、政府采购工程预算0.00万元、政府采购服务预算</w:t>
      </w:r>
      <w:r>
        <w:rPr>
          <w:rFonts w:ascii="仿宋_GB2312" w:eastAsia="仿宋_GB2312"/>
          <w:color w:val="000000"/>
          <w:sz w:val="32"/>
          <w:szCs w:val="32"/>
        </w:rPr>
        <w:t>11.29</w:t>
      </w:r>
      <w:r>
        <w:rPr>
          <w:rFonts w:hint="eastAsia" w:ascii="仿宋_GB2312" w:eastAsia="仿宋_GB2312"/>
          <w:color w:val="000000"/>
          <w:sz w:val="32"/>
          <w:szCs w:val="32"/>
        </w:rPr>
        <w:t>万元。</w:t>
      </w:r>
    </w:p>
    <w:p>
      <w:pPr>
        <w:pStyle w:val="14"/>
        <w:spacing w:line="520" w:lineRule="exact"/>
        <w:ind w:firstLine="642"/>
        <w:rPr>
          <w:rFonts w:ascii="仿宋_GB2312" w:eastAsia="仿宋_GB2312"/>
          <w:sz w:val="32"/>
          <w:szCs w:val="32"/>
        </w:rPr>
      </w:pPr>
      <w:r>
        <w:rPr>
          <w:rFonts w:hint="eastAsia" w:ascii="仿宋_GB2312" w:eastAsia="仿宋_GB2312"/>
          <w:b/>
          <w:bCs/>
          <w:sz w:val="32"/>
          <w:szCs w:val="32"/>
        </w:rPr>
        <w:t>3.国有资产占有使用情况。</w:t>
      </w:r>
    </w:p>
    <w:p>
      <w:pPr>
        <w:spacing w:line="520" w:lineRule="exact"/>
        <w:ind w:firstLine="640"/>
        <w:rPr>
          <w:rFonts w:ascii="仿宋_GB2312" w:hAnsi="仿宋_GB2312" w:eastAsia="仿宋_GB2312" w:cs="仿宋_GB2312"/>
          <w:sz w:val="32"/>
          <w:szCs w:val="32"/>
        </w:rPr>
      </w:pPr>
      <w:r>
        <w:rPr>
          <w:rFonts w:hint="eastAsia" w:ascii="仿宋_GB2312" w:hAnsi="仿宋_GB2312" w:eastAsia="仿宋_GB2312" w:cs="仿宋_GB2312"/>
          <w:spacing w:val="6"/>
          <w:sz w:val="32"/>
          <w:szCs w:val="32"/>
        </w:rPr>
        <w:t>截至2023年12月31日，衢州市科学技术协会所属各预算单位共有车辆</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辆，其中，应急保障用车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辆、老干部服务用车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辆、行政执法专用车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台（套）。 </w:t>
      </w:r>
    </w:p>
    <w:p>
      <w:pPr>
        <w:spacing w:line="52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2024年部门预算未安排购置车辆、单位价值50万元以上通用设备及单位价值100万元以上专用设备</w:t>
      </w:r>
      <w:r>
        <w:rPr>
          <w:rFonts w:hint="eastAsia" w:ascii="仿宋_GB2312" w:hAnsi="仿宋_GB2312" w:eastAsia="仿宋_GB2312" w:cs="仿宋_GB2312"/>
          <w:sz w:val="32"/>
          <w:szCs w:val="32"/>
        </w:rPr>
        <w:t>。</w:t>
      </w:r>
    </w:p>
    <w:p>
      <w:pPr>
        <w:pStyle w:val="14"/>
        <w:spacing w:line="520" w:lineRule="exact"/>
        <w:rPr>
          <w:rFonts w:ascii="仿宋_GB2312" w:eastAsia="仿宋_GB2312"/>
          <w:b/>
          <w:bCs/>
          <w:sz w:val="32"/>
          <w:szCs w:val="32"/>
        </w:rPr>
      </w:pPr>
      <w:r>
        <w:rPr>
          <w:rFonts w:hint="eastAsia" w:ascii="仿宋_GB2312" w:eastAsia="仿宋_GB2312"/>
          <w:b/>
          <w:bCs/>
          <w:sz w:val="32"/>
          <w:szCs w:val="32"/>
        </w:rPr>
        <w:t xml:space="preserve">    4.预算绩效情况说明。</w:t>
      </w:r>
    </w:p>
    <w:p>
      <w:pPr>
        <w:ind w:firstLine="640" w:firstLineChars="200"/>
      </w:pPr>
      <w:r>
        <w:rPr>
          <w:rFonts w:ascii="仿宋_GB2312" w:hAnsi="仿宋_GB2312" w:eastAsia="仿宋_GB2312" w:cs="仿宋_GB2312"/>
          <w:sz w:val="32"/>
          <w:szCs w:val="32"/>
        </w:rPr>
        <w:t>2024年衢州市科学技术协会其他运转类项目和特定目标类项目均实行绩效目标管理，共计4个一级项目，涉及当年资金331.20万元。同时，将按照相关制度规定开展绩效自评。一级项目绩效目标表，详见“部门项目支出绩效表”</w:t>
      </w:r>
      <w:r>
        <w:rPr>
          <w:rFonts w:hint="eastAsia" w:ascii="仿宋_GB2312" w:hAnsi="仿宋_GB2312" w:eastAsia="仿宋_GB2312" w:cs="仿宋_GB2312"/>
          <w:sz w:val="32"/>
          <w:szCs w:val="32"/>
        </w:rPr>
        <w:t>。</w:t>
      </w:r>
    </w:p>
    <w:p>
      <w:pPr>
        <w:pStyle w:val="14"/>
        <w:spacing w:line="520" w:lineRule="exact"/>
        <w:ind w:firstLine="640" w:firstLineChars="200"/>
        <w:rPr>
          <w:rFonts w:ascii="黑体" w:hAnsi="黑体" w:eastAsia="黑体" w:cs="黑体"/>
          <w:bCs/>
          <w:kern w:val="2"/>
          <w:sz w:val="32"/>
          <w:szCs w:val="32"/>
        </w:rPr>
      </w:pPr>
      <w:r>
        <w:rPr>
          <w:rFonts w:hint="eastAsia" w:ascii="黑体" w:hAnsi="黑体" w:eastAsia="黑体" w:cs="黑体"/>
          <w:bCs/>
          <w:kern w:val="2"/>
          <w:sz w:val="32"/>
          <w:szCs w:val="32"/>
        </w:rPr>
        <w:t>三、名词解释</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1.财政拨款收入：本级财政部门当年拨付的财政预算资金，包括一般公共预算财政拨款</w:t>
      </w:r>
      <w:r>
        <w:rPr>
          <w:rFonts w:hint="eastAsia" w:ascii="仿宋_GB2312" w:eastAsia="仿宋_GB2312"/>
          <w:color w:val="000000"/>
          <w:sz w:val="32"/>
          <w:szCs w:val="32"/>
        </w:rPr>
        <w:t>、</w:t>
      </w:r>
      <w:r>
        <w:rPr>
          <w:rFonts w:hint="eastAsia" w:ascii="仿宋_GB2312" w:hAnsi="仿宋_GB2312" w:eastAsia="仿宋_GB2312" w:cs="仿宋_GB2312"/>
          <w:sz w:val="32"/>
          <w:szCs w:val="32"/>
        </w:rPr>
        <w:t>政府性基金预算和国有资本经营预算财政拨款。</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其他收入：预算单位在“一般公共预算”“政府性基金预算”“国有资本经营预算”“财政专户管理资金”“事业收入”“事业单位经营收入”“上级补助收入”和“附属单位上缴收入”等之外取得的各项收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.基本支出：是预算单位为保障其正常运转，完成日常工作任务所发生的支出，包括人员支出和日常公用支出。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.项目支出：是预算单位为完成其特定的行政工作任务或事业发展目标所发生的支出。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highlight w:val="none"/>
          <w:lang w:val="en-US" w:eastAsia="zh-CN"/>
        </w:rPr>
        <w:t>科学技术支出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val="en-US" w:eastAsia="zh-CN"/>
        </w:rPr>
        <w:t>科学技术普及</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val="en-US" w:eastAsia="zh-CN"/>
        </w:rPr>
        <w:t>机构运行</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sz w:val="32"/>
          <w:szCs w:val="32"/>
        </w:rPr>
        <w:t>：指</w:t>
      </w:r>
      <w:r>
        <w:rPr>
          <w:rFonts w:hint="eastAsia" w:ascii="仿宋_GB2312" w:hAnsi="仿宋_GB2312" w:eastAsia="仿宋_GB2312" w:cs="仿宋_GB2312"/>
          <w:color w:val="auto"/>
          <w:sz w:val="32"/>
          <w:szCs w:val="32"/>
          <w:highlight w:val="none"/>
          <w:lang w:val="en-US" w:eastAsia="zh-CN"/>
        </w:rPr>
        <w:t>反映</w:t>
      </w:r>
      <w:r>
        <w:rPr>
          <w:rFonts w:hint="eastAsia" w:ascii="仿宋_GB2312" w:eastAsia="仿宋_GB2312"/>
          <w:color w:val="000000" w:themeColor="text1"/>
          <w:sz w:val="32"/>
          <w:szCs w:val="32"/>
          <w14:textFill>
            <w14:solidFill>
              <w14:schemeClr w14:val="tx1"/>
            </w14:solidFill>
          </w14:textFill>
        </w:rPr>
        <w:t>科普事业单位的基本支出</w:t>
      </w:r>
      <w:r>
        <w:rPr>
          <w:rFonts w:hint="eastAsia" w:ascii="仿宋_GB2312" w:hAnsi="仿宋_GB2312" w:eastAsia="仿宋_GB2312" w:cs="仿宋_GB2312"/>
          <w:sz w:val="32"/>
          <w:szCs w:val="32"/>
        </w:rPr>
        <w:t>。</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highlight w:val="none"/>
          <w:lang w:val="en-US" w:eastAsia="zh-CN"/>
        </w:rPr>
        <w:t>科学技术支出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val="en-US" w:eastAsia="zh-CN"/>
        </w:rPr>
        <w:t>科学技术普及</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val="en-US" w:eastAsia="zh-CN"/>
        </w:rPr>
        <w:t>科普活动</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sz w:val="32"/>
          <w:szCs w:val="32"/>
        </w:rPr>
        <w:t>：指</w:t>
      </w:r>
      <w:r>
        <w:rPr>
          <w:rFonts w:hint="eastAsia" w:ascii="仿宋_GB2312" w:hAnsi="仿宋_GB2312" w:eastAsia="仿宋_GB2312" w:cs="仿宋_GB2312"/>
          <w:color w:val="000000"/>
          <w:sz w:val="32"/>
          <w:szCs w:val="32"/>
          <w:highlight w:val="none"/>
          <w:lang w:val="en-US" w:eastAsia="zh-CN"/>
        </w:rPr>
        <w:t>反映</w:t>
      </w:r>
      <w:r>
        <w:rPr>
          <w:rFonts w:hint="eastAsia" w:ascii="仿宋_GB2312" w:hAnsi="仿宋_GB2312" w:eastAsia="仿宋_GB2312" w:cs="仿宋_GB2312"/>
          <w:color w:val="000000" w:themeColor="text1"/>
          <w:sz w:val="32"/>
          <w:szCs w:val="32"/>
          <w14:textFill>
            <w14:solidFill>
              <w14:schemeClr w14:val="tx1"/>
            </w14:solidFill>
          </w14:textFill>
        </w:rPr>
        <w:t>用于</w:t>
      </w:r>
      <w:r>
        <w:rPr>
          <w:rFonts w:hint="eastAsia" w:ascii="仿宋_GB2312" w:eastAsia="仿宋_GB2312"/>
          <w:color w:val="000000" w:themeColor="text1"/>
          <w:sz w:val="32"/>
          <w:szCs w:val="32"/>
          <w14:textFill>
            <w14:solidFill>
              <w14:schemeClr w14:val="tx1"/>
            </w14:solidFill>
          </w14:textFill>
        </w:rPr>
        <w:t>开展科普活动的支出</w:t>
      </w:r>
      <w:r>
        <w:rPr>
          <w:rFonts w:hint="eastAsia" w:ascii="仿宋_GB2312" w:hAnsi="仿宋_GB2312" w:eastAsia="仿宋_GB2312" w:cs="仿宋_GB2312"/>
          <w:sz w:val="32"/>
          <w:szCs w:val="32"/>
        </w:rPr>
        <w:t>。</w:t>
      </w:r>
    </w:p>
    <w:p>
      <w:pPr>
        <w:spacing w:line="520" w:lineRule="exact"/>
        <w:ind w:firstLine="640" w:firstLineChars="200"/>
        <w:rPr>
          <w:rFonts w:hint="eastAsia"/>
          <w:lang w:val="en-US" w:eastAsia="zh-CN"/>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highlight w:val="none"/>
          <w:lang w:val="en-US" w:eastAsia="zh-CN"/>
        </w:rPr>
        <w:t>科学技术支出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val="en-US" w:eastAsia="zh-CN"/>
        </w:rPr>
        <w:t>科学技术普及</w:t>
      </w:r>
      <w:r>
        <w:rPr>
          <w:rFonts w:hint="eastAsia" w:ascii="仿宋_GB2312" w:hAnsi="仿宋_GB2312" w:eastAsia="仿宋_GB2312" w:cs="仿宋_GB2312"/>
          <w:color w:val="000000"/>
          <w:sz w:val="32"/>
          <w:szCs w:val="32"/>
          <w:highlight w:val="none"/>
        </w:rPr>
        <w:t>（款）</w:t>
      </w:r>
      <w:r>
        <w:rPr>
          <w:rFonts w:hint="eastAsia" w:ascii="仿宋_GB2312" w:eastAsia="仿宋_GB2312"/>
          <w:color w:val="000000"/>
          <w:sz w:val="32"/>
          <w:szCs w:val="32"/>
        </w:rPr>
        <w:t>其他科学技术普及支出</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指反映除上述项目以外</w:t>
      </w:r>
      <w:r>
        <w:rPr>
          <w:rFonts w:hint="eastAsia" w:ascii="仿宋_GB2312" w:eastAsia="仿宋_GB2312"/>
          <w:color w:val="000000" w:themeColor="text1"/>
          <w:sz w:val="32"/>
          <w:szCs w:val="32"/>
          <w14:textFill>
            <w14:solidFill>
              <w14:schemeClr w14:val="tx1"/>
            </w14:solidFill>
          </w14:textFill>
        </w:rPr>
        <w:t>其他用于科学技术普及方面的支出</w:t>
      </w:r>
    </w:p>
    <w:p>
      <w:pPr>
        <w:snapToGrid w:val="0"/>
        <w:spacing w:line="54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10.</w:t>
      </w:r>
      <w:r>
        <w:rPr>
          <w:rFonts w:hint="eastAsia" w:ascii="仿宋_GB2312" w:hAnsi="仿宋_GB2312" w:eastAsia="仿宋_GB2312" w:cs="仿宋_GB2312"/>
          <w:color w:val="000000"/>
          <w:sz w:val="32"/>
          <w:szCs w:val="32"/>
          <w:lang w:eastAsia="zh-CN"/>
        </w:rPr>
        <w:t>社会保障和就业支出（类）行政事业单位养老支出（款）机关事业单位基本养老保险缴费支出（项）：</w:t>
      </w:r>
      <w:r>
        <w:rPr>
          <w:rFonts w:hint="eastAsia" w:ascii="仿宋_GB2312" w:hAnsi="仿宋_GB2312" w:eastAsia="仿宋_GB2312" w:cs="仿宋_GB2312"/>
          <w:color w:val="000000"/>
          <w:sz w:val="32"/>
          <w:szCs w:val="32"/>
          <w:lang w:val="en-US" w:eastAsia="zh-CN"/>
        </w:rPr>
        <w:t>指反映</w:t>
      </w:r>
      <w:r>
        <w:rPr>
          <w:rFonts w:ascii="仿宋_GB2312" w:eastAsia="仿宋_GB2312"/>
          <w:color w:val="000000"/>
          <w:sz w:val="32"/>
          <w:szCs w:val="32"/>
        </w:rPr>
        <w:t>机关事业单位实施养老保险制度由单位缴纳的基本养老保险费支出。</w:t>
      </w:r>
    </w:p>
    <w:p>
      <w:pPr>
        <w:snapToGrid w:val="0"/>
        <w:spacing w:line="54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11.社会保障和就业支出（类）行政事业单位养老支出（款）机关事业单位职业年金缴费支出（项）：指反映机关事业单位实施养老保险制度由单位实际缴纳的职业年金支出（含职业年金补记支出）。</w:t>
      </w:r>
    </w:p>
    <w:p>
      <w:pPr>
        <w:snapToGrid w:val="0"/>
        <w:spacing w:line="540" w:lineRule="exact"/>
        <w:ind w:firstLine="640" w:firstLineChars="200"/>
        <w:rPr>
          <w:rFonts w:hint="eastAsia"/>
          <w:color w:val="000000"/>
          <w:sz w:val="32"/>
          <w:szCs w:val="32"/>
          <w:lang w:val="en-US" w:eastAsia="zh-CN"/>
        </w:rPr>
      </w:pPr>
      <w:r>
        <w:rPr>
          <w:rFonts w:hint="eastAsia"/>
          <w:color w:val="000000"/>
          <w:sz w:val="32"/>
          <w:szCs w:val="32"/>
          <w:lang w:val="en-US" w:eastAsia="zh-CN"/>
        </w:rPr>
        <w:t>12.</w:t>
      </w:r>
      <w:r>
        <w:rPr>
          <w:rFonts w:hint="eastAsia" w:ascii="仿宋_GB2312" w:eastAsia="仿宋_GB2312"/>
          <w:color w:val="000000"/>
          <w:sz w:val="32"/>
          <w:szCs w:val="32"/>
        </w:rPr>
        <w:t>社会保障和就业支出（类）行政事业单位养老支出（款）其他行政事业单位</w:t>
      </w:r>
      <w:r>
        <w:rPr>
          <w:rFonts w:ascii="仿宋_GB2312" w:eastAsia="仿宋_GB2312"/>
          <w:color w:val="000000"/>
          <w:sz w:val="32"/>
          <w:szCs w:val="32"/>
        </w:rPr>
        <w:t>养老支出</w:t>
      </w:r>
      <w:r>
        <w:rPr>
          <w:rFonts w:hint="eastAsia" w:ascii="仿宋_GB2312" w:eastAsia="仿宋_GB2312"/>
          <w:color w:val="000000"/>
          <w:sz w:val="32"/>
          <w:szCs w:val="32"/>
        </w:rPr>
        <w:t>（项）</w:t>
      </w:r>
      <w:r>
        <w:rPr>
          <w:rFonts w:hint="eastAsia"/>
          <w:color w:val="000000"/>
          <w:sz w:val="32"/>
          <w:szCs w:val="32"/>
          <w:lang w:val="en-US" w:eastAsia="zh-CN"/>
        </w:rPr>
        <w:t>：</w:t>
      </w:r>
      <w:r>
        <w:rPr>
          <w:rFonts w:hint="eastAsia" w:ascii="仿宋_GB2312" w:eastAsia="仿宋_GB2312"/>
          <w:color w:val="000000"/>
          <w:sz w:val="32"/>
          <w:szCs w:val="32"/>
          <w:lang w:val="en-US" w:eastAsia="zh-CN"/>
        </w:rPr>
        <w:t>指反映除上述项目以外</w:t>
      </w:r>
      <w:r>
        <w:rPr>
          <w:rFonts w:ascii="仿宋_GB2312" w:eastAsia="仿宋_GB2312"/>
          <w:color w:val="000000"/>
          <w:sz w:val="32"/>
          <w:szCs w:val="32"/>
        </w:rPr>
        <w:t>其他用于行政事业单位养老方面的支出。</w:t>
      </w:r>
    </w:p>
    <w:p>
      <w:pPr>
        <w:pStyle w:val="2"/>
        <w:ind w:firstLine="640" w:firstLineChars="200"/>
        <w:rPr>
          <w:rFonts w:hint="eastAsia"/>
          <w:color w:val="000000"/>
          <w:sz w:val="32"/>
          <w:szCs w:val="32"/>
          <w:lang w:val="en-US" w:eastAsia="zh-CN"/>
        </w:rPr>
      </w:pPr>
      <w:r>
        <w:rPr>
          <w:rFonts w:hint="eastAsia"/>
          <w:color w:val="000000"/>
          <w:sz w:val="32"/>
          <w:szCs w:val="32"/>
          <w:lang w:val="en-US" w:eastAsia="zh-CN"/>
        </w:rPr>
        <w:t>13.卫生健康支出</w:t>
      </w:r>
      <w:r>
        <w:rPr>
          <w:rFonts w:hint="eastAsia" w:ascii="仿宋_GB2312" w:eastAsia="仿宋_GB2312"/>
          <w:color w:val="000000"/>
          <w:sz w:val="32"/>
          <w:szCs w:val="32"/>
        </w:rPr>
        <w:t>（类）行政事业单位</w:t>
      </w:r>
      <w:r>
        <w:rPr>
          <w:rFonts w:hint="eastAsia"/>
          <w:color w:val="000000"/>
          <w:sz w:val="32"/>
          <w:szCs w:val="32"/>
          <w:lang w:val="en-US" w:eastAsia="zh-CN"/>
        </w:rPr>
        <w:t>医疗</w:t>
      </w:r>
      <w:r>
        <w:rPr>
          <w:rFonts w:hint="eastAsia" w:ascii="仿宋_GB2312" w:eastAsia="仿宋_GB2312"/>
          <w:color w:val="000000"/>
          <w:sz w:val="32"/>
          <w:szCs w:val="32"/>
        </w:rPr>
        <w:t>（款）其他行政事业单位</w:t>
      </w:r>
      <w:r>
        <w:rPr>
          <w:rFonts w:hint="eastAsia"/>
          <w:color w:val="000000"/>
          <w:sz w:val="32"/>
          <w:szCs w:val="32"/>
          <w:lang w:val="en-US" w:eastAsia="zh-CN"/>
        </w:rPr>
        <w:t>医疗</w:t>
      </w:r>
      <w:r>
        <w:rPr>
          <w:rFonts w:ascii="仿宋_GB2312" w:eastAsia="仿宋_GB2312"/>
          <w:color w:val="000000"/>
          <w:sz w:val="32"/>
          <w:szCs w:val="32"/>
        </w:rPr>
        <w:t>支出</w:t>
      </w:r>
      <w:r>
        <w:rPr>
          <w:rFonts w:hint="eastAsia" w:ascii="仿宋_GB2312" w:eastAsia="仿宋_GB2312"/>
          <w:color w:val="000000"/>
          <w:sz w:val="32"/>
          <w:szCs w:val="32"/>
        </w:rPr>
        <w:t>（项）</w:t>
      </w:r>
      <w:r>
        <w:rPr>
          <w:rFonts w:hint="eastAsia"/>
          <w:color w:val="000000"/>
          <w:sz w:val="32"/>
          <w:szCs w:val="32"/>
          <w:lang w:val="en-US" w:eastAsia="zh-CN"/>
        </w:rPr>
        <w:t>：指反映除上述项目以外的其他用于行政事业单位医疗方面的支出。</w:t>
      </w:r>
    </w:p>
    <w:p>
      <w:pPr>
        <w:snapToGrid w:val="0"/>
        <w:spacing w:line="540" w:lineRule="exact"/>
        <w:ind w:firstLine="640" w:firstLineChars="200"/>
        <w:rPr>
          <w:rFonts w:ascii="仿宋_GB2312" w:eastAsia="仿宋_GB2312"/>
          <w:color w:val="000000"/>
          <w:sz w:val="32"/>
          <w:szCs w:val="32"/>
        </w:rPr>
      </w:pPr>
      <w:r>
        <w:rPr>
          <w:rFonts w:hint="eastAsia"/>
          <w:color w:val="000000"/>
          <w:sz w:val="32"/>
          <w:szCs w:val="32"/>
          <w:lang w:val="en-US" w:eastAsia="zh-CN"/>
        </w:rPr>
        <w:t>14.</w:t>
      </w:r>
      <w:r>
        <w:rPr>
          <w:rFonts w:ascii="仿宋_GB2312" w:eastAsia="仿宋_GB2312"/>
          <w:color w:val="000000"/>
          <w:sz w:val="32"/>
          <w:szCs w:val="32"/>
        </w:rPr>
        <w:t>住房保障支出（类）住房改革支出（款）住房公积金（项）</w:t>
      </w:r>
      <w:r>
        <w:rPr>
          <w:rFonts w:hint="eastAsia" w:ascii="仿宋_GB2312" w:eastAsia="仿宋_GB2312" w:cs="Times New Roman"/>
          <w:color w:val="000000"/>
          <w:sz w:val="32"/>
          <w:szCs w:val="32"/>
          <w:lang w:val="en-US" w:eastAsia="zh-CN"/>
        </w:rPr>
        <w:t>指反映</w:t>
      </w:r>
      <w:r>
        <w:rPr>
          <w:rFonts w:ascii="仿宋_GB2312" w:eastAsia="仿宋_GB2312"/>
          <w:color w:val="000000"/>
          <w:sz w:val="32"/>
          <w:szCs w:val="32"/>
        </w:rPr>
        <w:t>行政事业单位按人力资源和社会保障部、财政部规定的基本工资和津贴补贴以及规定比例为职工缴纳的住房公积金。</w:t>
      </w:r>
    </w:p>
    <w:p>
      <w:pPr>
        <w:pStyle w:val="2"/>
        <w:rPr>
          <w:rFonts w:hint="eastAsia" w:ascii="仿宋_GB2312" w:eastAsia="仿宋_GB2312"/>
          <w:color w:val="000000"/>
          <w:sz w:val="32"/>
          <w:szCs w:val="32"/>
          <w:lang w:val="en-US" w:eastAsia="zh-CN"/>
        </w:rPr>
      </w:pPr>
    </w:p>
    <w:p>
      <w:pPr>
        <w:pStyle w:val="2"/>
        <w:rPr>
          <w:rFonts w:hint="default"/>
          <w:lang w:val="en-US" w:eastAsia="zh-CN"/>
        </w:rPr>
      </w:pPr>
    </w:p>
    <w:p>
      <w:pPr>
        <w:spacing w:line="520" w:lineRule="exact"/>
      </w:pPr>
    </w:p>
    <w:p/>
    <w:sectPr>
      <w:footerReference r:id="rId3" w:type="default"/>
      <w:pgSz w:w="11906" w:h="16838"/>
      <w:pgMar w:top="1440" w:right="1800" w:bottom="1440" w:left="1800" w:header="851" w:footer="992" w:gutter="0"/>
      <w:pgNumType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2"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53C"/>
    <w:rsid w:val="0002642F"/>
    <w:rsid w:val="00037FBA"/>
    <w:rsid w:val="00084C3B"/>
    <w:rsid w:val="000F6704"/>
    <w:rsid w:val="0014553D"/>
    <w:rsid w:val="00151805"/>
    <w:rsid w:val="0018453C"/>
    <w:rsid w:val="00225BBF"/>
    <w:rsid w:val="00233C98"/>
    <w:rsid w:val="0025199F"/>
    <w:rsid w:val="00262069"/>
    <w:rsid w:val="00262BFB"/>
    <w:rsid w:val="0029677C"/>
    <w:rsid w:val="002D46DD"/>
    <w:rsid w:val="002E190E"/>
    <w:rsid w:val="00312421"/>
    <w:rsid w:val="0034320B"/>
    <w:rsid w:val="0035041B"/>
    <w:rsid w:val="003533AA"/>
    <w:rsid w:val="00372A55"/>
    <w:rsid w:val="0039638D"/>
    <w:rsid w:val="003A54FF"/>
    <w:rsid w:val="003C7BA3"/>
    <w:rsid w:val="004B141E"/>
    <w:rsid w:val="004B1C55"/>
    <w:rsid w:val="004C1A7E"/>
    <w:rsid w:val="004F65D0"/>
    <w:rsid w:val="004F6D96"/>
    <w:rsid w:val="0054517F"/>
    <w:rsid w:val="0055355B"/>
    <w:rsid w:val="00576237"/>
    <w:rsid w:val="005C2E6B"/>
    <w:rsid w:val="005E47B3"/>
    <w:rsid w:val="005E7D52"/>
    <w:rsid w:val="00655F61"/>
    <w:rsid w:val="00667EBC"/>
    <w:rsid w:val="00677576"/>
    <w:rsid w:val="006C39E2"/>
    <w:rsid w:val="006D5442"/>
    <w:rsid w:val="006D7FE3"/>
    <w:rsid w:val="006E0740"/>
    <w:rsid w:val="006E085B"/>
    <w:rsid w:val="006F455E"/>
    <w:rsid w:val="007072D9"/>
    <w:rsid w:val="0073245A"/>
    <w:rsid w:val="007715EF"/>
    <w:rsid w:val="007A0C65"/>
    <w:rsid w:val="007B431F"/>
    <w:rsid w:val="007E4CC3"/>
    <w:rsid w:val="007E5EFB"/>
    <w:rsid w:val="00801E01"/>
    <w:rsid w:val="00834DDF"/>
    <w:rsid w:val="00850DC9"/>
    <w:rsid w:val="00882C0A"/>
    <w:rsid w:val="0089440C"/>
    <w:rsid w:val="00916ABC"/>
    <w:rsid w:val="009415A1"/>
    <w:rsid w:val="009427F2"/>
    <w:rsid w:val="00943339"/>
    <w:rsid w:val="009444AA"/>
    <w:rsid w:val="009A7459"/>
    <w:rsid w:val="009B71E7"/>
    <w:rsid w:val="009C4B77"/>
    <w:rsid w:val="00A76362"/>
    <w:rsid w:val="00A86842"/>
    <w:rsid w:val="00AB2741"/>
    <w:rsid w:val="00AC7742"/>
    <w:rsid w:val="00B109C2"/>
    <w:rsid w:val="00B11C03"/>
    <w:rsid w:val="00B7532A"/>
    <w:rsid w:val="00BA6311"/>
    <w:rsid w:val="00C35F38"/>
    <w:rsid w:val="00C47BB8"/>
    <w:rsid w:val="00C52D1F"/>
    <w:rsid w:val="00C75827"/>
    <w:rsid w:val="00CA4684"/>
    <w:rsid w:val="00CE3F52"/>
    <w:rsid w:val="00D81B35"/>
    <w:rsid w:val="00DA6F5B"/>
    <w:rsid w:val="00DA7F84"/>
    <w:rsid w:val="00E16E78"/>
    <w:rsid w:val="00E20FB4"/>
    <w:rsid w:val="00E37BE0"/>
    <w:rsid w:val="00E40834"/>
    <w:rsid w:val="00E429D8"/>
    <w:rsid w:val="00E44C58"/>
    <w:rsid w:val="00E72378"/>
    <w:rsid w:val="00E925CD"/>
    <w:rsid w:val="00F23B56"/>
    <w:rsid w:val="00F56A05"/>
    <w:rsid w:val="00F6374C"/>
    <w:rsid w:val="00F7116F"/>
    <w:rsid w:val="00F73C07"/>
    <w:rsid w:val="00F82550"/>
    <w:rsid w:val="00FB1AD5"/>
    <w:rsid w:val="01405C62"/>
    <w:rsid w:val="015C0D77"/>
    <w:rsid w:val="01F263DB"/>
    <w:rsid w:val="024C6702"/>
    <w:rsid w:val="02632622"/>
    <w:rsid w:val="026505B4"/>
    <w:rsid w:val="028630A1"/>
    <w:rsid w:val="03AA3E3B"/>
    <w:rsid w:val="03EA5C50"/>
    <w:rsid w:val="03F436DD"/>
    <w:rsid w:val="042C4C4E"/>
    <w:rsid w:val="05054F3D"/>
    <w:rsid w:val="05227854"/>
    <w:rsid w:val="0538011A"/>
    <w:rsid w:val="054D0FA3"/>
    <w:rsid w:val="05F46152"/>
    <w:rsid w:val="05F835B0"/>
    <w:rsid w:val="063B27DE"/>
    <w:rsid w:val="065E25EC"/>
    <w:rsid w:val="06835E42"/>
    <w:rsid w:val="06FC7ED4"/>
    <w:rsid w:val="07623DA7"/>
    <w:rsid w:val="077B34F3"/>
    <w:rsid w:val="07907D66"/>
    <w:rsid w:val="081119C7"/>
    <w:rsid w:val="081A0728"/>
    <w:rsid w:val="08BD2799"/>
    <w:rsid w:val="08DE4DFD"/>
    <w:rsid w:val="08E07576"/>
    <w:rsid w:val="08FE14ED"/>
    <w:rsid w:val="09C31824"/>
    <w:rsid w:val="0A1D1E06"/>
    <w:rsid w:val="0A4C7CCD"/>
    <w:rsid w:val="0B486D9D"/>
    <w:rsid w:val="0BD448F3"/>
    <w:rsid w:val="0C7B7749"/>
    <w:rsid w:val="0CE2397A"/>
    <w:rsid w:val="0CEE5818"/>
    <w:rsid w:val="0D134862"/>
    <w:rsid w:val="0DDF3EA9"/>
    <w:rsid w:val="0F0A0BC6"/>
    <w:rsid w:val="0F3E23E2"/>
    <w:rsid w:val="0F5C4EB1"/>
    <w:rsid w:val="0F760C96"/>
    <w:rsid w:val="0FFC24E5"/>
    <w:rsid w:val="1085571C"/>
    <w:rsid w:val="11387C8E"/>
    <w:rsid w:val="119C1C51"/>
    <w:rsid w:val="124E1058"/>
    <w:rsid w:val="12970A77"/>
    <w:rsid w:val="12B72665"/>
    <w:rsid w:val="12D300E7"/>
    <w:rsid w:val="13725DAD"/>
    <w:rsid w:val="13811EEE"/>
    <w:rsid w:val="14EF3497"/>
    <w:rsid w:val="153C45B3"/>
    <w:rsid w:val="15420797"/>
    <w:rsid w:val="157947AC"/>
    <w:rsid w:val="15DB09EF"/>
    <w:rsid w:val="1650535C"/>
    <w:rsid w:val="165642D9"/>
    <w:rsid w:val="16F374C9"/>
    <w:rsid w:val="17EC7FC1"/>
    <w:rsid w:val="17F81734"/>
    <w:rsid w:val="180D7344"/>
    <w:rsid w:val="18D04290"/>
    <w:rsid w:val="18EF3804"/>
    <w:rsid w:val="195C3A7E"/>
    <w:rsid w:val="1A14325B"/>
    <w:rsid w:val="1A2375F0"/>
    <w:rsid w:val="1A9C6906"/>
    <w:rsid w:val="1AC0275A"/>
    <w:rsid w:val="1B1D1342"/>
    <w:rsid w:val="1B2A6629"/>
    <w:rsid w:val="1C103D2D"/>
    <w:rsid w:val="1C1965EC"/>
    <w:rsid w:val="1C652CAB"/>
    <w:rsid w:val="1C7701B9"/>
    <w:rsid w:val="1CC77CAC"/>
    <w:rsid w:val="1D8567C1"/>
    <w:rsid w:val="1D99665F"/>
    <w:rsid w:val="1E2850F6"/>
    <w:rsid w:val="1E5122F2"/>
    <w:rsid w:val="1E621D9B"/>
    <w:rsid w:val="1E945AB3"/>
    <w:rsid w:val="1EBB0876"/>
    <w:rsid w:val="1EFB5835"/>
    <w:rsid w:val="2008260C"/>
    <w:rsid w:val="205247F6"/>
    <w:rsid w:val="20C21B5F"/>
    <w:rsid w:val="20D018DC"/>
    <w:rsid w:val="20D8491F"/>
    <w:rsid w:val="21312ABB"/>
    <w:rsid w:val="217D79B3"/>
    <w:rsid w:val="219B3B12"/>
    <w:rsid w:val="21F8300E"/>
    <w:rsid w:val="22A22428"/>
    <w:rsid w:val="22D4227E"/>
    <w:rsid w:val="22FA27EC"/>
    <w:rsid w:val="230477A4"/>
    <w:rsid w:val="234550B7"/>
    <w:rsid w:val="23565231"/>
    <w:rsid w:val="2384696C"/>
    <w:rsid w:val="23B968AE"/>
    <w:rsid w:val="240772FF"/>
    <w:rsid w:val="24183DF0"/>
    <w:rsid w:val="247778DD"/>
    <w:rsid w:val="247A77A8"/>
    <w:rsid w:val="2492204D"/>
    <w:rsid w:val="24D6630F"/>
    <w:rsid w:val="24F84929"/>
    <w:rsid w:val="2536658E"/>
    <w:rsid w:val="257B506C"/>
    <w:rsid w:val="25DE1005"/>
    <w:rsid w:val="25F31947"/>
    <w:rsid w:val="260A1E20"/>
    <w:rsid w:val="26816946"/>
    <w:rsid w:val="26DB7398"/>
    <w:rsid w:val="2705728B"/>
    <w:rsid w:val="27417BF8"/>
    <w:rsid w:val="27693B45"/>
    <w:rsid w:val="283A129B"/>
    <w:rsid w:val="294F0255"/>
    <w:rsid w:val="29A27A8C"/>
    <w:rsid w:val="29B27EC8"/>
    <w:rsid w:val="29DF16A7"/>
    <w:rsid w:val="29F74F67"/>
    <w:rsid w:val="2A484907"/>
    <w:rsid w:val="2B755902"/>
    <w:rsid w:val="2BA81833"/>
    <w:rsid w:val="2BAC3F70"/>
    <w:rsid w:val="2C56166B"/>
    <w:rsid w:val="2C772798"/>
    <w:rsid w:val="2CC5167C"/>
    <w:rsid w:val="2CE33635"/>
    <w:rsid w:val="2CF57F2A"/>
    <w:rsid w:val="2D391980"/>
    <w:rsid w:val="2DE95528"/>
    <w:rsid w:val="2ED263DE"/>
    <w:rsid w:val="2EDC147D"/>
    <w:rsid w:val="2F312BD6"/>
    <w:rsid w:val="2F4F315F"/>
    <w:rsid w:val="2F5260FE"/>
    <w:rsid w:val="2FCA3EF3"/>
    <w:rsid w:val="30780EC9"/>
    <w:rsid w:val="31C46552"/>
    <w:rsid w:val="31EC7268"/>
    <w:rsid w:val="32691E0F"/>
    <w:rsid w:val="33722AF4"/>
    <w:rsid w:val="339F5B7F"/>
    <w:rsid w:val="345A4B8C"/>
    <w:rsid w:val="348C692F"/>
    <w:rsid w:val="34A77A31"/>
    <w:rsid w:val="34F20284"/>
    <w:rsid w:val="354F6355"/>
    <w:rsid w:val="35500D04"/>
    <w:rsid w:val="3570347C"/>
    <w:rsid w:val="35FC37F1"/>
    <w:rsid w:val="3619346A"/>
    <w:rsid w:val="37DD34EA"/>
    <w:rsid w:val="3859649B"/>
    <w:rsid w:val="386D2696"/>
    <w:rsid w:val="39103ACE"/>
    <w:rsid w:val="39227B1B"/>
    <w:rsid w:val="39406911"/>
    <w:rsid w:val="39850296"/>
    <w:rsid w:val="39C26750"/>
    <w:rsid w:val="3A7F1D43"/>
    <w:rsid w:val="3A8D223E"/>
    <w:rsid w:val="3B0B119A"/>
    <w:rsid w:val="3B291386"/>
    <w:rsid w:val="3B563038"/>
    <w:rsid w:val="3B80307E"/>
    <w:rsid w:val="3BCA7BD7"/>
    <w:rsid w:val="3C1B6FF1"/>
    <w:rsid w:val="3C6C37E2"/>
    <w:rsid w:val="3C7D1C3F"/>
    <w:rsid w:val="3CAD3032"/>
    <w:rsid w:val="3CFD6A0C"/>
    <w:rsid w:val="3E431765"/>
    <w:rsid w:val="3EB85D4B"/>
    <w:rsid w:val="400943B7"/>
    <w:rsid w:val="40143523"/>
    <w:rsid w:val="406B2735"/>
    <w:rsid w:val="4171469C"/>
    <w:rsid w:val="419D6F1A"/>
    <w:rsid w:val="41DA33CD"/>
    <w:rsid w:val="42C454C8"/>
    <w:rsid w:val="431A2687"/>
    <w:rsid w:val="43482ADF"/>
    <w:rsid w:val="43497E11"/>
    <w:rsid w:val="438C52D1"/>
    <w:rsid w:val="43AF1DC7"/>
    <w:rsid w:val="442360D8"/>
    <w:rsid w:val="44B7368F"/>
    <w:rsid w:val="450B3104"/>
    <w:rsid w:val="45374F70"/>
    <w:rsid w:val="45E922E2"/>
    <w:rsid w:val="46181B9F"/>
    <w:rsid w:val="46B73DB3"/>
    <w:rsid w:val="46B85A12"/>
    <w:rsid w:val="46C20ABF"/>
    <w:rsid w:val="471C5409"/>
    <w:rsid w:val="475E76EE"/>
    <w:rsid w:val="47645604"/>
    <w:rsid w:val="47AC0459"/>
    <w:rsid w:val="47B54AE2"/>
    <w:rsid w:val="484652C3"/>
    <w:rsid w:val="489E735B"/>
    <w:rsid w:val="48AA0CAC"/>
    <w:rsid w:val="48EF215B"/>
    <w:rsid w:val="49547ADE"/>
    <w:rsid w:val="499358EA"/>
    <w:rsid w:val="4AB935E6"/>
    <w:rsid w:val="4B1F601E"/>
    <w:rsid w:val="4B65339C"/>
    <w:rsid w:val="4BD740BA"/>
    <w:rsid w:val="4BE2220E"/>
    <w:rsid w:val="4D097364"/>
    <w:rsid w:val="4D7808AB"/>
    <w:rsid w:val="4DC87963"/>
    <w:rsid w:val="4DEB1983"/>
    <w:rsid w:val="4EBD760D"/>
    <w:rsid w:val="4EED2017"/>
    <w:rsid w:val="4F0B2DEE"/>
    <w:rsid w:val="4F1433FC"/>
    <w:rsid w:val="4F2E2211"/>
    <w:rsid w:val="4F4E78CD"/>
    <w:rsid w:val="4FA62E1E"/>
    <w:rsid w:val="4FE85961"/>
    <w:rsid w:val="50341189"/>
    <w:rsid w:val="50837233"/>
    <w:rsid w:val="514C5668"/>
    <w:rsid w:val="51513799"/>
    <w:rsid w:val="518C29B6"/>
    <w:rsid w:val="52170DB7"/>
    <w:rsid w:val="52AA23A8"/>
    <w:rsid w:val="52B7187A"/>
    <w:rsid w:val="53A5465B"/>
    <w:rsid w:val="53B6028C"/>
    <w:rsid w:val="53DB4D25"/>
    <w:rsid w:val="54392B16"/>
    <w:rsid w:val="54442E65"/>
    <w:rsid w:val="545B2AA1"/>
    <w:rsid w:val="549B5701"/>
    <w:rsid w:val="54A9277D"/>
    <w:rsid w:val="553F16B7"/>
    <w:rsid w:val="558856A9"/>
    <w:rsid w:val="55CA2A9E"/>
    <w:rsid w:val="55E50F1B"/>
    <w:rsid w:val="565F6886"/>
    <w:rsid w:val="567813BA"/>
    <w:rsid w:val="56B20AF7"/>
    <w:rsid w:val="56BC12E0"/>
    <w:rsid w:val="56BC237C"/>
    <w:rsid w:val="56C00077"/>
    <w:rsid w:val="56CD4B4D"/>
    <w:rsid w:val="56E65062"/>
    <w:rsid w:val="575867DA"/>
    <w:rsid w:val="5798381B"/>
    <w:rsid w:val="585447AE"/>
    <w:rsid w:val="58EC4DE1"/>
    <w:rsid w:val="59EC6E24"/>
    <w:rsid w:val="5A0B2520"/>
    <w:rsid w:val="5A186813"/>
    <w:rsid w:val="5A3B2376"/>
    <w:rsid w:val="5A40591F"/>
    <w:rsid w:val="5A6F0692"/>
    <w:rsid w:val="5ABF2E42"/>
    <w:rsid w:val="5B285886"/>
    <w:rsid w:val="5B586398"/>
    <w:rsid w:val="5B916903"/>
    <w:rsid w:val="5BAF097D"/>
    <w:rsid w:val="5BEF472E"/>
    <w:rsid w:val="5C4C0AAA"/>
    <w:rsid w:val="5C932202"/>
    <w:rsid w:val="5CC87E6F"/>
    <w:rsid w:val="5CD918EA"/>
    <w:rsid w:val="5D247D3D"/>
    <w:rsid w:val="5DAE1AC9"/>
    <w:rsid w:val="5DF808A0"/>
    <w:rsid w:val="5E153AF5"/>
    <w:rsid w:val="5E293727"/>
    <w:rsid w:val="5E7A2525"/>
    <w:rsid w:val="5EF100D0"/>
    <w:rsid w:val="5F0E1E7F"/>
    <w:rsid w:val="5F112305"/>
    <w:rsid w:val="5F1476E7"/>
    <w:rsid w:val="5F213803"/>
    <w:rsid w:val="5F2767B3"/>
    <w:rsid w:val="5FE31F70"/>
    <w:rsid w:val="60045498"/>
    <w:rsid w:val="614C1844"/>
    <w:rsid w:val="614F46D3"/>
    <w:rsid w:val="617A6C2D"/>
    <w:rsid w:val="618968F0"/>
    <w:rsid w:val="619E6355"/>
    <w:rsid w:val="61BD64DA"/>
    <w:rsid w:val="6215384D"/>
    <w:rsid w:val="62AC06BC"/>
    <w:rsid w:val="633B4987"/>
    <w:rsid w:val="63525D55"/>
    <w:rsid w:val="64C20A08"/>
    <w:rsid w:val="64E24AB9"/>
    <w:rsid w:val="64F06443"/>
    <w:rsid w:val="65737FB9"/>
    <w:rsid w:val="65DF5ECF"/>
    <w:rsid w:val="661D2104"/>
    <w:rsid w:val="66A662C4"/>
    <w:rsid w:val="66AC0038"/>
    <w:rsid w:val="67222B8A"/>
    <w:rsid w:val="679D182D"/>
    <w:rsid w:val="67BB6396"/>
    <w:rsid w:val="67C146EB"/>
    <w:rsid w:val="68197E1D"/>
    <w:rsid w:val="685045A6"/>
    <w:rsid w:val="688621C1"/>
    <w:rsid w:val="68C15BDE"/>
    <w:rsid w:val="690130CE"/>
    <w:rsid w:val="699562A3"/>
    <w:rsid w:val="69E95327"/>
    <w:rsid w:val="6AD23ACD"/>
    <w:rsid w:val="6B315A81"/>
    <w:rsid w:val="6C3132B3"/>
    <w:rsid w:val="6C3F4637"/>
    <w:rsid w:val="6C9D07C7"/>
    <w:rsid w:val="6CB426A8"/>
    <w:rsid w:val="6D3835CD"/>
    <w:rsid w:val="6DDF18A8"/>
    <w:rsid w:val="6E492AB7"/>
    <w:rsid w:val="6E7742D5"/>
    <w:rsid w:val="6E947A29"/>
    <w:rsid w:val="6F077D36"/>
    <w:rsid w:val="6F940B51"/>
    <w:rsid w:val="701E0D35"/>
    <w:rsid w:val="70C735D1"/>
    <w:rsid w:val="717A54B6"/>
    <w:rsid w:val="72AF23A1"/>
    <w:rsid w:val="72BF52A3"/>
    <w:rsid w:val="73520170"/>
    <w:rsid w:val="73B32D5B"/>
    <w:rsid w:val="745B0881"/>
    <w:rsid w:val="74EA0661"/>
    <w:rsid w:val="75127B2A"/>
    <w:rsid w:val="75272590"/>
    <w:rsid w:val="756B70AB"/>
    <w:rsid w:val="759D7389"/>
    <w:rsid w:val="7617390F"/>
    <w:rsid w:val="762D45E7"/>
    <w:rsid w:val="76346231"/>
    <w:rsid w:val="76432C97"/>
    <w:rsid w:val="76472E5B"/>
    <w:rsid w:val="773F1B2E"/>
    <w:rsid w:val="776141C0"/>
    <w:rsid w:val="77E71EE7"/>
    <w:rsid w:val="77EF76FC"/>
    <w:rsid w:val="78403651"/>
    <w:rsid w:val="784051C1"/>
    <w:rsid w:val="789E16E5"/>
    <w:rsid w:val="78DB40C6"/>
    <w:rsid w:val="7954401D"/>
    <w:rsid w:val="79547EF1"/>
    <w:rsid w:val="79A24C96"/>
    <w:rsid w:val="7AE80A7B"/>
    <w:rsid w:val="7B5E14E4"/>
    <w:rsid w:val="7B741965"/>
    <w:rsid w:val="7BBF78B4"/>
    <w:rsid w:val="7BFE30BC"/>
    <w:rsid w:val="7CD24C07"/>
    <w:rsid w:val="7CDD0037"/>
    <w:rsid w:val="7D6C2012"/>
    <w:rsid w:val="7D8E6DCC"/>
    <w:rsid w:val="7D8F4D87"/>
    <w:rsid w:val="7DBB66FE"/>
    <w:rsid w:val="7DBE27C1"/>
    <w:rsid w:val="7DCA5F0F"/>
    <w:rsid w:val="7DD27BA7"/>
    <w:rsid w:val="7E1F736F"/>
    <w:rsid w:val="7E366AB8"/>
    <w:rsid w:val="7E53316F"/>
    <w:rsid w:val="7EF60637"/>
    <w:rsid w:val="7F2B08E5"/>
    <w:rsid w:val="7F2E443C"/>
    <w:rsid w:val="7F9B365A"/>
    <w:rsid w:val="7FA57776"/>
    <w:rsid w:val="7FC250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Document Map"/>
    <w:basedOn w:val="1"/>
    <w:semiHidden/>
    <w:qFormat/>
    <w:uiPriority w:val="0"/>
    <w:pPr>
      <w:shd w:val="clear" w:color="auto" w:fill="00008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bCs/>
    </w:rPr>
  </w:style>
  <w:style w:type="paragraph" w:customStyle="1" w:styleId="10">
    <w:name w:val="Char"/>
    <w:basedOn w:val="1"/>
    <w:qFormat/>
    <w:uiPriority w:val="0"/>
    <w:rPr>
      <w:rFonts w:ascii="宋体" w:hAnsi="宋体" w:cs="Courier New"/>
      <w:sz w:val="32"/>
      <w:szCs w:val="32"/>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 w:type="paragraph" w:customStyle="1" w:styleId="13">
    <w:name w:val="[Normal]"/>
    <w:qFormat/>
    <w:uiPriority w:val="0"/>
    <w:rPr>
      <w:rFonts w:ascii="宋体" w:hAnsi="宋体" w:eastAsia="宋体" w:cs="Times New Roman"/>
      <w:sz w:val="24"/>
      <w:lang w:val="zh-CN" w:eastAsia="zh-CN" w:bidi="ar-SA"/>
    </w:rPr>
  </w:style>
  <w:style w:type="paragraph" w:customStyle="1" w:styleId="1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xc</Company>
  <Pages>19</Pages>
  <Words>9584</Words>
  <Characters>17669</Characters>
  <Lines>147</Lines>
  <Paragraphs>54</Paragraphs>
  <TotalTime>31</TotalTime>
  <ScaleCrop>false</ScaleCrop>
  <LinksUpToDate>false</LinksUpToDate>
  <CharactersWithSpaces>27199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2020-01-06T08:45:00Z</dcterms:created>
  <dc:creator>dsx</dc:creator>
  <cp:lastModifiedBy>Administrator</cp:lastModifiedBy>
  <cp:lastPrinted>2024-04-02T04:51:59Z</cp:lastPrinted>
  <dcterms:modified xsi:type="dcterms:W3CDTF">2024-04-02T06:40:51Z</dcterms:modified>
  <dc:title>关于2019年部门预算的批复</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EDOID">
    <vt:r8>5838458</vt:r8>
  </property>
  <property fmtid="{D5CDD505-2E9C-101B-9397-08002B2CF9AE}" pid="4" name="ICV">
    <vt:lpwstr>E7E435903E954F16B3A6550F30CE4D1E</vt:lpwstr>
  </property>
</Properties>
</file>